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F27E" w14:textId="77777777" w:rsidR="008F640E" w:rsidRDefault="008F640E" w:rsidP="00452A9D">
      <w:pPr>
        <w:jc w:val="center"/>
        <w:rPr>
          <w:b/>
          <w:bCs/>
          <w:color w:val="0070C0"/>
          <w:sz w:val="28"/>
          <w:szCs w:val="28"/>
        </w:rPr>
      </w:pPr>
      <w:bookmarkStart w:id="0" w:name="_Hlk38987231"/>
    </w:p>
    <w:p w14:paraId="4C0A37F8" w14:textId="1657682B" w:rsidR="00452A9D" w:rsidRPr="008F640E" w:rsidRDefault="00142E0B" w:rsidP="00452A9D">
      <w:pPr>
        <w:jc w:val="center"/>
        <w:rPr>
          <w:b/>
          <w:bCs/>
          <w:color w:val="0070C0"/>
          <w:sz w:val="40"/>
          <w:szCs w:val="40"/>
        </w:rPr>
      </w:pPr>
      <w:r w:rsidRPr="008F640E">
        <w:rPr>
          <w:b/>
          <w:bCs/>
          <w:color w:val="0070C0"/>
          <w:sz w:val="40"/>
          <w:szCs w:val="40"/>
        </w:rPr>
        <w:t xml:space="preserve">COVID-19 </w:t>
      </w:r>
      <w:r w:rsidR="00765439" w:rsidRPr="008F640E">
        <w:rPr>
          <w:b/>
          <w:bCs/>
          <w:color w:val="0070C0"/>
          <w:sz w:val="40"/>
          <w:szCs w:val="40"/>
        </w:rPr>
        <w:t xml:space="preserve">CONTACT TRACING </w:t>
      </w:r>
      <w:r w:rsidR="008F640E" w:rsidRPr="008F640E">
        <w:rPr>
          <w:b/>
          <w:bCs/>
          <w:color w:val="0070C0"/>
          <w:sz w:val="40"/>
          <w:szCs w:val="40"/>
        </w:rPr>
        <w:t>CHECKLISTS</w:t>
      </w:r>
    </w:p>
    <w:p w14:paraId="29C4617C" w14:textId="6DDC8A9E" w:rsidR="0088755E" w:rsidRDefault="0088755E" w:rsidP="00452A9D">
      <w:pPr>
        <w:jc w:val="center"/>
        <w:rPr>
          <w:b/>
          <w:bCs/>
          <w:color w:val="0070C0"/>
          <w:sz w:val="28"/>
          <w:szCs w:val="28"/>
        </w:rPr>
      </w:pPr>
    </w:p>
    <w:p w14:paraId="40BEAE8F" w14:textId="77777777" w:rsidR="0088755E" w:rsidRDefault="0088755E" w:rsidP="00452A9D">
      <w:pPr>
        <w:jc w:val="center"/>
        <w:rPr>
          <w:b/>
          <w:bCs/>
          <w:color w:val="0070C0"/>
          <w:sz w:val="28"/>
          <w:szCs w:val="28"/>
        </w:rPr>
      </w:pPr>
    </w:p>
    <w:p w14:paraId="229DADCD" w14:textId="1D12783A" w:rsidR="00CD6700" w:rsidRDefault="00CD6700" w:rsidP="001B0D6E">
      <w:pPr>
        <w:jc w:val="center"/>
        <w:rPr>
          <w:b/>
          <w:bCs/>
          <w:color w:val="0070C0"/>
          <w:sz w:val="36"/>
          <w:szCs w:val="36"/>
        </w:rPr>
      </w:pPr>
      <w:r w:rsidRPr="001B0D6E">
        <w:rPr>
          <w:b/>
          <w:bCs/>
          <w:color w:val="0070C0"/>
          <w:sz w:val="36"/>
          <w:szCs w:val="36"/>
        </w:rPr>
        <w:t>OVERVIEW</w:t>
      </w:r>
    </w:p>
    <w:p w14:paraId="689B0B88" w14:textId="77777777" w:rsidR="001B0D6E" w:rsidRPr="001B0D6E" w:rsidRDefault="001B0D6E" w:rsidP="001B0D6E">
      <w:pPr>
        <w:jc w:val="center"/>
        <w:rPr>
          <w:b/>
          <w:bCs/>
          <w:color w:val="0070C0"/>
          <w:sz w:val="36"/>
          <w:szCs w:val="36"/>
        </w:rPr>
      </w:pPr>
    </w:p>
    <w:p w14:paraId="162152BD" w14:textId="752B2F99" w:rsidR="00CD6700" w:rsidRPr="00E527E3" w:rsidRDefault="00CD6700" w:rsidP="004E5AA5">
      <w:pPr>
        <w:jc w:val="both"/>
      </w:pPr>
      <w:r w:rsidRPr="00E527E3">
        <w:t xml:space="preserve">The COVID-19 Contact Tracing Checklists are tools for health departments to use to plan the expansion of their contact tracing programs to be responsive to the COVID-19 pandemic. The Checklists itemize key elements of a COVID-19 contact tracing program. The items included in these checklists are important </w:t>
      </w:r>
      <w:r w:rsidR="00E527E3">
        <w:t>elements and the checklist can be used to track if they are in place or under development and who on staff has the lead role</w:t>
      </w:r>
      <w:r w:rsidRPr="00E527E3">
        <w:t>. However, the lists are not all-inclusive. They do not include every aspect of a general contact tracing program that a health department may already have in place, but focus on those elements that must especially be considered for a</w:t>
      </w:r>
      <w:r w:rsidR="00E527E3">
        <w:t xml:space="preserve"> rapid</w:t>
      </w:r>
      <w:r w:rsidRPr="00E527E3">
        <w:t xml:space="preserve"> expansion of the number of contact tracers conducting COVID-19 investigations and follow-up.</w:t>
      </w:r>
    </w:p>
    <w:p w14:paraId="176FD828" w14:textId="528B7796" w:rsidR="00CD6700" w:rsidRPr="00E527E3" w:rsidRDefault="00CD6700" w:rsidP="004E5AA5">
      <w:pPr>
        <w:jc w:val="both"/>
      </w:pPr>
      <w:r w:rsidRPr="00E527E3">
        <w:t xml:space="preserve">There are two checklists: Program Development and Infrastructure. These checklists can be used by the health department simultaneously, but it is important that the development or enhancement of the department’s infrastructure meet the </w:t>
      </w:r>
      <w:r w:rsidR="00F6121B">
        <w:t xml:space="preserve">specific </w:t>
      </w:r>
      <w:r w:rsidRPr="00E527E3">
        <w:t>needs of the program, as detailed in the first checklist.</w:t>
      </w:r>
    </w:p>
    <w:p w14:paraId="38C4328D" w14:textId="77777777" w:rsidR="00CD6700" w:rsidRPr="00E527E3" w:rsidRDefault="00CD6700" w:rsidP="004E5AA5">
      <w:pPr>
        <w:jc w:val="both"/>
      </w:pPr>
      <w:r w:rsidRPr="00E527E3">
        <w:t>The Checklists provide guidance concerning the elements of a COVID-19 contact tracing program that any health department should consider. They do not provide instructions or templates for the development of a contact tracing program.</w:t>
      </w:r>
    </w:p>
    <w:p w14:paraId="2AE15A82" w14:textId="45053E13" w:rsidR="00726FAD" w:rsidRPr="00E527E3" w:rsidRDefault="00CD6700" w:rsidP="004E5AA5">
      <w:pPr>
        <w:jc w:val="both"/>
      </w:pPr>
      <w:r w:rsidRPr="00E527E3">
        <w:t>Finally, these checklists are provided as tools to assist health departments prepare for increased testing and the need for a more robust contact tracing program.</w:t>
      </w:r>
      <w:r w:rsidR="00452A9D">
        <w:t xml:space="preserve"> </w:t>
      </w:r>
      <w:r w:rsidRPr="00E527E3">
        <w:t>PHAB urges health departments to act NOW, with a sense of urgency. The public is depending on public health departments to protect their health and mitigate the spread of the COVID-19 virus.</w:t>
      </w:r>
    </w:p>
    <w:p w14:paraId="17D09B42" w14:textId="77777777" w:rsidR="0088755E" w:rsidRDefault="0088755E">
      <w:pPr>
        <w:rPr>
          <w:b/>
          <w:bCs/>
          <w:color w:val="0070C0"/>
          <w:sz w:val="36"/>
          <w:szCs w:val="36"/>
        </w:rPr>
      </w:pPr>
      <w:r>
        <w:rPr>
          <w:b/>
          <w:bCs/>
          <w:color w:val="0070C0"/>
          <w:sz w:val="36"/>
          <w:szCs w:val="36"/>
        </w:rPr>
        <w:br w:type="page"/>
      </w:r>
    </w:p>
    <w:p w14:paraId="1F15826C" w14:textId="6E218AA4" w:rsidR="00726FAD" w:rsidRDefault="00765439" w:rsidP="00726FAD">
      <w:pPr>
        <w:jc w:val="center"/>
        <w:rPr>
          <w:b/>
          <w:bCs/>
          <w:color w:val="0070C0"/>
          <w:sz w:val="36"/>
          <w:szCs w:val="36"/>
        </w:rPr>
      </w:pPr>
      <w:r w:rsidRPr="007415A4">
        <w:rPr>
          <w:b/>
          <w:bCs/>
          <w:color w:val="0070C0"/>
          <w:sz w:val="36"/>
          <w:szCs w:val="36"/>
        </w:rPr>
        <w:lastRenderedPageBreak/>
        <w:t>PROGRAM DEVELOPMENT CHECKLIST</w:t>
      </w:r>
    </w:p>
    <w:tbl>
      <w:tblPr>
        <w:tblStyle w:val="TableGrid"/>
        <w:tblW w:w="0" w:type="auto"/>
        <w:tblLook w:val="04A0" w:firstRow="1" w:lastRow="0" w:firstColumn="1" w:lastColumn="0" w:noHBand="0" w:noVBand="1"/>
      </w:tblPr>
      <w:tblGrid>
        <w:gridCol w:w="9350"/>
      </w:tblGrid>
      <w:tr w:rsidR="004E5AA5" w14:paraId="6E8071FC" w14:textId="77777777" w:rsidTr="004E5AA5">
        <w:tc>
          <w:tcPr>
            <w:tcW w:w="9350" w:type="dxa"/>
            <w:shd w:val="clear" w:color="auto" w:fill="DEEAF6" w:themeFill="accent5" w:themeFillTint="33"/>
          </w:tcPr>
          <w:p w14:paraId="68E32E9F" w14:textId="225AEB64" w:rsidR="004E5AA5" w:rsidRDefault="004E5AA5" w:rsidP="004E5AA5">
            <w:pPr>
              <w:jc w:val="both"/>
            </w:pPr>
            <w:r>
              <w:t>The health department will need to develop plans, protocols, and materials for the provision of a COVID-19 contact tracing program. Some of the elements may already be in place, as functions of the health department’s disease investigation program. Some elements will need to be strengthened and quickly expanded. Other, COVID-19 specific elements, will need to be developed.</w:t>
            </w:r>
          </w:p>
        </w:tc>
      </w:tr>
    </w:tbl>
    <w:p w14:paraId="4F6A3BA2" w14:textId="77B2D323" w:rsidR="00E527E3" w:rsidRPr="004E5AA5" w:rsidRDefault="00E527E3" w:rsidP="00E527E3">
      <w:pPr>
        <w:rPr>
          <w:b/>
          <w:bCs/>
          <w:color w:val="0070C0"/>
          <w:sz w:val="20"/>
          <w:szCs w:val="20"/>
        </w:rPr>
      </w:pPr>
    </w:p>
    <w:tbl>
      <w:tblPr>
        <w:tblStyle w:val="TableGrid"/>
        <w:tblW w:w="9365" w:type="dxa"/>
        <w:tblLayout w:type="fixed"/>
        <w:tblLook w:val="04A0" w:firstRow="1" w:lastRow="0" w:firstColumn="1" w:lastColumn="0" w:noHBand="0" w:noVBand="1"/>
      </w:tblPr>
      <w:tblGrid>
        <w:gridCol w:w="236"/>
        <w:gridCol w:w="1379"/>
        <w:gridCol w:w="3600"/>
        <w:gridCol w:w="1710"/>
        <w:gridCol w:w="810"/>
        <w:gridCol w:w="1630"/>
      </w:tblGrid>
      <w:tr w:rsidR="00CA002B" w14:paraId="05E90722" w14:textId="77777777" w:rsidTr="009D515D">
        <w:trPr>
          <w:tblHeader/>
        </w:trPr>
        <w:tc>
          <w:tcPr>
            <w:tcW w:w="1615" w:type="dxa"/>
            <w:gridSpan w:val="2"/>
            <w:shd w:val="clear" w:color="auto" w:fill="9CC2E5" w:themeFill="accent5" w:themeFillTint="99"/>
          </w:tcPr>
          <w:bookmarkEnd w:id="0"/>
          <w:p w14:paraId="2C35F46C" w14:textId="7D3E2CD0" w:rsidR="00765439" w:rsidRPr="0017048B" w:rsidRDefault="00452A9D" w:rsidP="0017048B">
            <w:pPr>
              <w:jc w:val="center"/>
              <w:rPr>
                <w:b/>
                <w:bCs/>
              </w:rPr>
            </w:pPr>
            <w:r w:rsidRPr="0017048B">
              <w:rPr>
                <w:b/>
                <w:bCs/>
              </w:rPr>
              <w:t>ELEMENT</w:t>
            </w:r>
          </w:p>
        </w:tc>
        <w:tc>
          <w:tcPr>
            <w:tcW w:w="3600" w:type="dxa"/>
            <w:shd w:val="clear" w:color="auto" w:fill="9CC2E5" w:themeFill="accent5" w:themeFillTint="99"/>
          </w:tcPr>
          <w:p w14:paraId="42CC7844" w14:textId="1F336D8F" w:rsidR="00452A9D" w:rsidRDefault="00452A9D" w:rsidP="0017048B">
            <w:pPr>
              <w:jc w:val="center"/>
              <w:rPr>
                <w:b/>
                <w:bCs/>
              </w:rPr>
            </w:pPr>
            <w:r>
              <w:rPr>
                <w:b/>
                <w:bCs/>
              </w:rPr>
              <w:t xml:space="preserve">DEVELOP/ADOPT </w:t>
            </w:r>
          </w:p>
          <w:p w14:paraId="2CEEA967" w14:textId="7756B786" w:rsidR="00CB2C63" w:rsidRPr="0017048B" w:rsidRDefault="00452A9D" w:rsidP="0017048B">
            <w:pPr>
              <w:jc w:val="center"/>
              <w:rPr>
                <w:b/>
                <w:bCs/>
              </w:rPr>
            </w:pPr>
            <w:r>
              <w:rPr>
                <w:b/>
                <w:bCs/>
              </w:rPr>
              <w:t>PROVISIONS FOR:</w:t>
            </w:r>
          </w:p>
        </w:tc>
        <w:tc>
          <w:tcPr>
            <w:tcW w:w="1710" w:type="dxa"/>
            <w:shd w:val="clear" w:color="auto" w:fill="9CC2E5" w:themeFill="accent5" w:themeFillTint="99"/>
          </w:tcPr>
          <w:p w14:paraId="5AE5A9E9" w14:textId="415A4235" w:rsidR="00765439" w:rsidRPr="0017048B" w:rsidRDefault="00452A9D" w:rsidP="0017048B">
            <w:pPr>
              <w:jc w:val="center"/>
              <w:rPr>
                <w:b/>
                <w:bCs/>
              </w:rPr>
            </w:pPr>
            <w:r w:rsidRPr="0017048B">
              <w:rPr>
                <w:b/>
                <w:bCs/>
              </w:rPr>
              <w:t>IN</w:t>
            </w:r>
            <w:r>
              <w:rPr>
                <w:b/>
                <w:bCs/>
              </w:rPr>
              <w:t xml:space="preserve"> DEVELOPMENT</w:t>
            </w:r>
          </w:p>
        </w:tc>
        <w:tc>
          <w:tcPr>
            <w:tcW w:w="810" w:type="dxa"/>
            <w:shd w:val="clear" w:color="auto" w:fill="9CC2E5" w:themeFill="accent5" w:themeFillTint="99"/>
          </w:tcPr>
          <w:p w14:paraId="37B43326" w14:textId="3604F629" w:rsidR="00765439" w:rsidRPr="0017048B" w:rsidRDefault="00452A9D" w:rsidP="0017048B">
            <w:pPr>
              <w:jc w:val="center"/>
              <w:rPr>
                <w:b/>
                <w:bCs/>
              </w:rPr>
            </w:pPr>
            <w:r>
              <w:rPr>
                <w:b/>
                <w:bCs/>
              </w:rPr>
              <w:t>IN PLACE</w:t>
            </w:r>
          </w:p>
        </w:tc>
        <w:tc>
          <w:tcPr>
            <w:tcW w:w="1630" w:type="dxa"/>
            <w:shd w:val="clear" w:color="auto" w:fill="9CC2E5" w:themeFill="accent5" w:themeFillTint="99"/>
          </w:tcPr>
          <w:p w14:paraId="171B1B0A" w14:textId="6190FB18" w:rsidR="00765439" w:rsidRPr="0017048B" w:rsidRDefault="00452A9D" w:rsidP="00452A9D">
            <w:pPr>
              <w:jc w:val="center"/>
              <w:rPr>
                <w:b/>
                <w:bCs/>
              </w:rPr>
            </w:pPr>
            <w:r w:rsidRPr="0017048B">
              <w:rPr>
                <w:b/>
                <w:bCs/>
              </w:rPr>
              <w:t>PERSON/UNIT ASSIGNED</w:t>
            </w:r>
          </w:p>
        </w:tc>
      </w:tr>
      <w:tr w:rsidR="009D515D" w14:paraId="0336B3AC" w14:textId="77777777" w:rsidTr="009D515D">
        <w:tc>
          <w:tcPr>
            <w:tcW w:w="1615" w:type="dxa"/>
            <w:gridSpan w:val="2"/>
          </w:tcPr>
          <w:p w14:paraId="21A152C0" w14:textId="38F34D46" w:rsidR="009D515D" w:rsidRDefault="009D515D" w:rsidP="009D515D">
            <w:r>
              <w:t>Concept of Operations</w:t>
            </w:r>
          </w:p>
        </w:tc>
        <w:tc>
          <w:tcPr>
            <w:tcW w:w="3600" w:type="dxa"/>
          </w:tcPr>
          <w:p w14:paraId="44F041BA" w14:textId="2EDE1FBE" w:rsidR="009D515D" w:rsidRDefault="009D515D" w:rsidP="009D515D">
            <w:r>
              <w:t xml:space="preserve">A </w:t>
            </w:r>
            <w:r>
              <w:t>strategy concerning how</w:t>
            </w:r>
            <w:r w:rsidRPr="00F92359">
              <w:t xml:space="preserve"> the various </w:t>
            </w:r>
            <w:r w:rsidR="008F640E">
              <w:t xml:space="preserve">program </w:t>
            </w:r>
            <w:r w:rsidRPr="00F92359">
              <w:t>components</w:t>
            </w:r>
            <w:r>
              <w:t xml:space="preserve"> fit together and support each other</w:t>
            </w:r>
            <w:r w:rsidRPr="00F92359">
              <w:t xml:space="preserve"> (</w:t>
            </w:r>
            <w:r>
              <w:t xml:space="preserve">that is, </w:t>
            </w:r>
            <w:r w:rsidRPr="00F92359">
              <w:t>case</w:t>
            </w:r>
            <w:r>
              <w:t xml:space="preserve"> reporting</w:t>
            </w:r>
            <w:r w:rsidRPr="00F92359">
              <w:t xml:space="preserve"> feeds into case interview</w:t>
            </w:r>
            <w:r>
              <w:t>s,</w:t>
            </w:r>
            <w:r w:rsidRPr="00F92359">
              <w:t xml:space="preserve"> feeds into contact tracing) with goal </w:t>
            </w:r>
            <w:r>
              <w:t xml:space="preserve">statements and </w:t>
            </w:r>
            <w:r w:rsidRPr="00F92359">
              <w:t>timelines</w:t>
            </w:r>
            <w:r>
              <w:t>.</w:t>
            </w:r>
          </w:p>
        </w:tc>
        <w:tc>
          <w:tcPr>
            <w:tcW w:w="1710" w:type="dxa"/>
          </w:tcPr>
          <w:p w14:paraId="50165C54" w14:textId="77777777" w:rsidR="009D515D" w:rsidRDefault="009D515D" w:rsidP="009D515D"/>
        </w:tc>
        <w:tc>
          <w:tcPr>
            <w:tcW w:w="810" w:type="dxa"/>
          </w:tcPr>
          <w:p w14:paraId="04E0E19B" w14:textId="77777777" w:rsidR="009D515D" w:rsidRDefault="009D515D" w:rsidP="009D515D"/>
        </w:tc>
        <w:tc>
          <w:tcPr>
            <w:tcW w:w="1630" w:type="dxa"/>
          </w:tcPr>
          <w:p w14:paraId="423B97AE" w14:textId="77777777" w:rsidR="009D515D" w:rsidRDefault="009D515D" w:rsidP="009D515D"/>
        </w:tc>
      </w:tr>
      <w:tr w:rsidR="009D515D" w14:paraId="6F07F0CD" w14:textId="77777777" w:rsidTr="009D515D">
        <w:tc>
          <w:tcPr>
            <w:tcW w:w="1615" w:type="dxa"/>
            <w:gridSpan w:val="2"/>
          </w:tcPr>
          <w:p w14:paraId="7C3A9BBC" w14:textId="26FDFC47" w:rsidR="009D515D" w:rsidRDefault="009D515D" w:rsidP="009D515D">
            <w:r>
              <w:t>Assessment and Planning</w:t>
            </w:r>
          </w:p>
        </w:tc>
        <w:tc>
          <w:tcPr>
            <w:tcW w:w="3600" w:type="dxa"/>
          </w:tcPr>
          <w:p w14:paraId="6F756CBC" w14:textId="78C402E3" w:rsidR="009D515D" w:rsidRDefault="009D515D" w:rsidP="009D515D">
            <w:r>
              <w:t>assessment of  the incidence, prevalence, mortality and spread of COVID-19 in various communities/neighborhoods/congregate living situations. Assess the availability and accuracy of testing, community isolation and quarantine options, and medical care/referral options. Consider demographic data including, for example, ethnic populations, languages spoken, access to health care, etc.</w:t>
            </w:r>
          </w:p>
        </w:tc>
        <w:tc>
          <w:tcPr>
            <w:tcW w:w="1710" w:type="dxa"/>
          </w:tcPr>
          <w:p w14:paraId="06D968CD" w14:textId="77777777" w:rsidR="009D515D" w:rsidRDefault="009D515D" w:rsidP="009D515D"/>
        </w:tc>
        <w:tc>
          <w:tcPr>
            <w:tcW w:w="810" w:type="dxa"/>
          </w:tcPr>
          <w:p w14:paraId="5D9647BA" w14:textId="77777777" w:rsidR="009D515D" w:rsidRDefault="009D515D" w:rsidP="009D515D"/>
        </w:tc>
        <w:tc>
          <w:tcPr>
            <w:tcW w:w="1630" w:type="dxa"/>
          </w:tcPr>
          <w:p w14:paraId="694AA0CE" w14:textId="77777777" w:rsidR="009D515D" w:rsidRDefault="009D515D" w:rsidP="009D515D"/>
        </w:tc>
      </w:tr>
      <w:tr w:rsidR="009D515D" w14:paraId="35E14788" w14:textId="77777777" w:rsidTr="009D515D">
        <w:tc>
          <w:tcPr>
            <w:tcW w:w="1615" w:type="dxa"/>
            <w:gridSpan w:val="2"/>
          </w:tcPr>
          <w:p w14:paraId="701A8FD3" w14:textId="176003ED" w:rsidR="009D515D" w:rsidRDefault="009D515D" w:rsidP="009D515D">
            <w:r>
              <w:t>Increasing Number of Contact Tracers</w:t>
            </w:r>
          </w:p>
        </w:tc>
        <w:tc>
          <w:tcPr>
            <w:tcW w:w="3600" w:type="dxa"/>
          </w:tcPr>
          <w:p w14:paraId="460C93BA" w14:textId="2FE9D5E1" w:rsidR="009D515D" w:rsidRDefault="009D515D" w:rsidP="009D515D">
            <w:r>
              <w:t>detailed plans for hiring, training, and supervising a corps of contact tracers.</w:t>
            </w:r>
          </w:p>
        </w:tc>
        <w:tc>
          <w:tcPr>
            <w:tcW w:w="1710" w:type="dxa"/>
          </w:tcPr>
          <w:p w14:paraId="6B8C2CFF" w14:textId="77777777" w:rsidR="009D515D" w:rsidRDefault="009D515D" w:rsidP="009D515D"/>
        </w:tc>
        <w:tc>
          <w:tcPr>
            <w:tcW w:w="810" w:type="dxa"/>
          </w:tcPr>
          <w:p w14:paraId="7BA71816" w14:textId="77777777" w:rsidR="009D515D" w:rsidRDefault="009D515D" w:rsidP="009D515D"/>
        </w:tc>
        <w:tc>
          <w:tcPr>
            <w:tcW w:w="1630" w:type="dxa"/>
          </w:tcPr>
          <w:p w14:paraId="54540218" w14:textId="77777777" w:rsidR="009D515D" w:rsidRDefault="009D515D" w:rsidP="009D515D"/>
        </w:tc>
      </w:tr>
      <w:tr w:rsidR="008F640E" w14:paraId="127DC9D1" w14:textId="77777777" w:rsidTr="00D92348">
        <w:trPr>
          <w:trHeight w:val="1343"/>
        </w:trPr>
        <w:tc>
          <w:tcPr>
            <w:tcW w:w="236" w:type="dxa"/>
            <w:vMerge w:val="restart"/>
            <w:shd w:val="clear" w:color="auto" w:fill="DEEAF6" w:themeFill="accent5" w:themeFillTint="33"/>
          </w:tcPr>
          <w:p w14:paraId="0D80896A" w14:textId="77777777" w:rsidR="008F640E" w:rsidRDefault="008F640E" w:rsidP="009D515D"/>
        </w:tc>
        <w:tc>
          <w:tcPr>
            <w:tcW w:w="1379" w:type="dxa"/>
          </w:tcPr>
          <w:p w14:paraId="1E820D11" w14:textId="77919EF8" w:rsidR="008F640E" w:rsidRDefault="008F640E" w:rsidP="009D515D">
            <w:r>
              <w:t>Training</w:t>
            </w:r>
          </w:p>
        </w:tc>
        <w:tc>
          <w:tcPr>
            <w:tcW w:w="3600" w:type="dxa"/>
          </w:tcPr>
          <w:p w14:paraId="7E3C04C9" w14:textId="42118391" w:rsidR="008F640E" w:rsidRDefault="008F640E" w:rsidP="009D515D">
            <w:r>
              <w:t xml:space="preserve">core contact tracing training with the inclusion of specific COVID-19 information (contagion safety, the need for isolation/quarantine of individuals, symptoms, etc.). </w:t>
            </w:r>
          </w:p>
        </w:tc>
        <w:tc>
          <w:tcPr>
            <w:tcW w:w="1710" w:type="dxa"/>
          </w:tcPr>
          <w:p w14:paraId="5F909B63" w14:textId="77777777" w:rsidR="008F640E" w:rsidRDefault="008F640E" w:rsidP="009D515D"/>
        </w:tc>
        <w:tc>
          <w:tcPr>
            <w:tcW w:w="810" w:type="dxa"/>
          </w:tcPr>
          <w:p w14:paraId="49A61548" w14:textId="77777777" w:rsidR="008F640E" w:rsidRDefault="008F640E" w:rsidP="009D515D"/>
        </w:tc>
        <w:tc>
          <w:tcPr>
            <w:tcW w:w="1630" w:type="dxa"/>
          </w:tcPr>
          <w:p w14:paraId="038B4FB7" w14:textId="77777777" w:rsidR="008F640E" w:rsidRDefault="008F640E" w:rsidP="009D515D"/>
        </w:tc>
      </w:tr>
      <w:tr w:rsidR="009D515D" w14:paraId="5673B5D6" w14:textId="77777777" w:rsidTr="009D515D">
        <w:tc>
          <w:tcPr>
            <w:tcW w:w="236" w:type="dxa"/>
            <w:vMerge/>
            <w:shd w:val="clear" w:color="auto" w:fill="DEEAF6" w:themeFill="accent5" w:themeFillTint="33"/>
          </w:tcPr>
          <w:p w14:paraId="1F08338B" w14:textId="77777777" w:rsidR="009D515D" w:rsidRDefault="009D515D" w:rsidP="009D515D"/>
        </w:tc>
        <w:tc>
          <w:tcPr>
            <w:tcW w:w="1379" w:type="dxa"/>
          </w:tcPr>
          <w:p w14:paraId="18AE1ABD" w14:textId="690272C4" w:rsidR="009D515D" w:rsidRDefault="009D515D" w:rsidP="009D515D">
            <w:r>
              <w:t>Field Tool Kit</w:t>
            </w:r>
          </w:p>
        </w:tc>
        <w:tc>
          <w:tcPr>
            <w:tcW w:w="3600" w:type="dxa"/>
          </w:tcPr>
          <w:p w14:paraId="6A4483D3" w14:textId="13AB44B0" w:rsidR="009D515D" w:rsidRDefault="009D515D" w:rsidP="009D515D">
            <w:r>
              <w:t xml:space="preserve">equipment  for staff hired </w:t>
            </w:r>
            <w:r w:rsidRPr="004D12DE">
              <w:t>(</w:t>
            </w:r>
            <w:r>
              <w:t>for example,</w:t>
            </w:r>
            <w:r w:rsidRPr="004D12DE">
              <w:t xml:space="preserve"> cell phone, client referrals, maps, disease information pamphlets,  personal protective equipment)</w:t>
            </w:r>
            <w:r>
              <w:t>.</w:t>
            </w:r>
          </w:p>
        </w:tc>
        <w:tc>
          <w:tcPr>
            <w:tcW w:w="1710" w:type="dxa"/>
          </w:tcPr>
          <w:p w14:paraId="61821436" w14:textId="77777777" w:rsidR="009D515D" w:rsidRDefault="009D515D" w:rsidP="009D515D"/>
        </w:tc>
        <w:tc>
          <w:tcPr>
            <w:tcW w:w="810" w:type="dxa"/>
          </w:tcPr>
          <w:p w14:paraId="564E3E4C" w14:textId="77777777" w:rsidR="009D515D" w:rsidRDefault="009D515D" w:rsidP="009D515D"/>
        </w:tc>
        <w:tc>
          <w:tcPr>
            <w:tcW w:w="1630" w:type="dxa"/>
          </w:tcPr>
          <w:p w14:paraId="12B8CBEB" w14:textId="77777777" w:rsidR="009D515D" w:rsidRDefault="009D515D" w:rsidP="009D515D"/>
        </w:tc>
      </w:tr>
      <w:tr w:rsidR="009D515D" w14:paraId="0C0A893F" w14:textId="77777777" w:rsidTr="009D515D">
        <w:tc>
          <w:tcPr>
            <w:tcW w:w="1615" w:type="dxa"/>
            <w:gridSpan w:val="2"/>
          </w:tcPr>
          <w:p w14:paraId="2B0490B8" w14:textId="1E8A75DE" w:rsidR="009D515D" w:rsidRDefault="009D515D" w:rsidP="009D515D">
            <w:r>
              <w:t>Community Resources Guide</w:t>
            </w:r>
          </w:p>
        </w:tc>
        <w:tc>
          <w:tcPr>
            <w:tcW w:w="3600" w:type="dxa"/>
          </w:tcPr>
          <w:p w14:paraId="6930B44A" w14:textId="10255C98" w:rsidR="009D515D" w:rsidRDefault="009D515D" w:rsidP="009D515D">
            <w:r>
              <w:t>a resource guide for clinical, isolation/quarantine housing, and social services referrals.</w:t>
            </w:r>
          </w:p>
        </w:tc>
        <w:tc>
          <w:tcPr>
            <w:tcW w:w="1710" w:type="dxa"/>
          </w:tcPr>
          <w:p w14:paraId="0C8165BC" w14:textId="77777777" w:rsidR="009D515D" w:rsidRDefault="009D515D" w:rsidP="009D515D"/>
        </w:tc>
        <w:tc>
          <w:tcPr>
            <w:tcW w:w="810" w:type="dxa"/>
          </w:tcPr>
          <w:p w14:paraId="5B289185" w14:textId="77777777" w:rsidR="009D515D" w:rsidRDefault="009D515D" w:rsidP="009D515D"/>
        </w:tc>
        <w:tc>
          <w:tcPr>
            <w:tcW w:w="1630" w:type="dxa"/>
          </w:tcPr>
          <w:p w14:paraId="3E638C4F" w14:textId="77777777" w:rsidR="009D515D" w:rsidRDefault="009D515D" w:rsidP="009D515D"/>
        </w:tc>
      </w:tr>
      <w:tr w:rsidR="009D515D" w14:paraId="27F8539A" w14:textId="77777777" w:rsidTr="009D515D">
        <w:tc>
          <w:tcPr>
            <w:tcW w:w="1615" w:type="dxa"/>
            <w:gridSpan w:val="2"/>
          </w:tcPr>
          <w:p w14:paraId="7FADA4E4" w14:textId="30AFAC64" w:rsidR="009D515D" w:rsidRDefault="009D515D" w:rsidP="009D515D">
            <w:r>
              <w:t>Link to Resources</w:t>
            </w:r>
          </w:p>
        </w:tc>
        <w:tc>
          <w:tcPr>
            <w:tcW w:w="3600" w:type="dxa"/>
          </w:tcPr>
          <w:p w14:paraId="439BBF1B" w14:textId="684EA155" w:rsidR="009D515D" w:rsidRDefault="009D515D" w:rsidP="009D515D">
            <w:r>
              <w:t xml:space="preserve">agreements </w:t>
            </w:r>
            <w:r w:rsidRPr="00BC3F88">
              <w:t xml:space="preserve"> with medical and other service providers to ensure </w:t>
            </w:r>
            <w:r>
              <w:t xml:space="preserve">access to </w:t>
            </w:r>
            <w:r>
              <w:lastRenderedPageBreak/>
              <w:t>health</w:t>
            </w:r>
            <w:r w:rsidRPr="00BC3F88">
              <w:t xml:space="preserve"> care</w:t>
            </w:r>
            <w:r>
              <w:t xml:space="preserve"> and other support services.</w:t>
            </w:r>
          </w:p>
        </w:tc>
        <w:tc>
          <w:tcPr>
            <w:tcW w:w="1710" w:type="dxa"/>
          </w:tcPr>
          <w:p w14:paraId="48FF4773" w14:textId="193869FB" w:rsidR="009D515D" w:rsidRDefault="009D515D" w:rsidP="009D515D">
            <w:r>
              <w:lastRenderedPageBreak/>
              <w:t xml:space="preserve"> </w:t>
            </w:r>
          </w:p>
        </w:tc>
        <w:tc>
          <w:tcPr>
            <w:tcW w:w="810" w:type="dxa"/>
          </w:tcPr>
          <w:p w14:paraId="0464DC0D" w14:textId="77777777" w:rsidR="009D515D" w:rsidRDefault="009D515D" w:rsidP="009D515D"/>
        </w:tc>
        <w:tc>
          <w:tcPr>
            <w:tcW w:w="1630" w:type="dxa"/>
          </w:tcPr>
          <w:p w14:paraId="2C5A86F6" w14:textId="77777777" w:rsidR="009D515D" w:rsidRDefault="009D515D" w:rsidP="009D515D"/>
        </w:tc>
      </w:tr>
      <w:tr w:rsidR="009D515D" w14:paraId="04609A15" w14:textId="77777777" w:rsidTr="009D515D">
        <w:tc>
          <w:tcPr>
            <w:tcW w:w="1615" w:type="dxa"/>
            <w:gridSpan w:val="2"/>
          </w:tcPr>
          <w:p w14:paraId="0D48E337" w14:textId="69920D60" w:rsidR="009D515D" w:rsidRDefault="009D515D" w:rsidP="009D515D">
            <w:r>
              <w:t>Protocol for Investigations</w:t>
            </w:r>
          </w:p>
        </w:tc>
        <w:tc>
          <w:tcPr>
            <w:tcW w:w="3600" w:type="dxa"/>
          </w:tcPr>
          <w:p w14:paraId="40417C50" w14:textId="045DEC18" w:rsidR="009D515D" w:rsidRDefault="009D515D" w:rsidP="009D515D">
            <w:r>
              <w:t>the investigations of individuals in the community. Special protocols for congregate living (long term care facilities, homeless shelters, correctional facilities) should also be developed.</w:t>
            </w:r>
          </w:p>
        </w:tc>
        <w:tc>
          <w:tcPr>
            <w:tcW w:w="1710" w:type="dxa"/>
          </w:tcPr>
          <w:p w14:paraId="2B4ADFE8" w14:textId="77777777" w:rsidR="009D515D" w:rsidRDefault="009D515D" w:rsidP="009D515D"/>
        </w:tc>
        <w:tc>
          <w:tcPr>
            <w:tcW w:w="810" w:type="dxa"/>
          </w:tcPr>
          <w:p w14:paraId="727C8EC3" w14:textId="77777777" w:rsidR="009D515D" w:rsidRDefault="009D515D" w:rsidP="009D515D"/>
        </w:tc>
        <w:tc>
          <w:tcPr>
            <w:tcW w:w="1630" w:type="dxa"/>
          </w:tcPr>
          <w:p w14:paraId="2F7DB39F" w14:textId="77777777" w:rsidR="009D515D" w:rsidRDefault="009D515D" w:rsidP="009D515D"/>
        </w:tc>
      </w:tr>
      <w:tr w:rsidR="009D515D" w14:paraId="5977E34C" w14:textId="77777777" w:rsidTr="009D515D">
        <w:tc>
          <w:tcPr>
            <w:tcW w:w="236" w:type="dxa"/>
            <w:vMerge w:val="restart"/>
            <w:shd w:val="clear" w:color="auto" w:fill="DEEAF6" w:themeFill="accent5" w:themeFillTint="33"/>
          </w:tcPr>
          <w:p w14:paraId="6231DA74" w14:textId="77777777" w:rsidR="009D515D" w:rsidRDefault="009D515D" w:rsidP="009D515D"/>
        </w:tc>
        <w:tc>
          <w:tcPr>
            <w:tcW w:w="1379" w:type="dxa"/>
          </w:tcPr>
          <w:p w14:paraId="61E1C842" w14:textId="337BE0C3" w:rsidR="009D515D" w:rsidRDefault="009D515D" w:rsidP="009D515D">
            <w:r>
              <w:t>Case information</w:t>
            </w:r>
          </w:p>
        </w:tc>
        <w:tc>
          <w:tcPr>
            <w:tcW w:w="3600" w:type="dxa"/>
          </w:tcPr>
          <w:p w14:paraId="2DCC6F8F" w14:textId="0D3523FB" w:rsidR="009D515D" w:rsidRDefault="009D515D" w:rsidP="009D515D">
            <w:r>
              <w:t>consideration of clusters of cases or demographics of persons exposed.</w:t>
            </w:r>
          </w:p>
        </w:tc>
        <w:tc>
          <w:tcPr>
            <w:tcW w:w="1710" w:type="dxa"/>
          </w:tcPr>
          <w:p w14:paraId="16E083CA" w14:textId="77777777" w:rsidR="009D515D" w:rsidRDefault="009D515D" w:rsidP="009D515D"/>
        </w:tc>
        <w:tc>
          <w:tcPr>
            <w:tcW w:w="810" w:type="dxa"/>
          </w:tcPr>
          <w:p w14:paraId="3E2C90C2" w14:textId="77777777" w:rsidR="009D515D" w:rsidRDefault="009D515D" w:rsidP="009D515D"/>
        </w:tc>
        <w:tc>
          <w:tcPr>
            <w:tcW w:w="1630" w:type="dxa"/>
          </w:tcPr>
          <w:p w14:paraId="4EBA3B0B" w14:textId="77777777" w:rsidR="009D515D" w:rsidRDefault="009D515D" w:rsidP="009D515D"/>
        </w:tc>
      </w:tr>
      <w:tr w:rsidR="009D515D" w14:paraId="60B10907" w14:textId="77777777" w:rsidTr="009D515D">
        <w:tc>
          <w:tcPr>
            <w:tcW w:w="236" w:type="dxa"/>
            <w:vMerge/>
            <w:shd w:val="clear" w:color="auto" w:fill="DEEAF6" w:themeFill="accent5" w:themeFillTint="33"/>
          </w:tcPr>
          <w:p w14:paraId="47215A96" w14:textId="77777777" w:rsidR="009D515D" w:rsidRDefault="009D515D" w:rsidP="009D515D"/>
        </w:tc>
        <w:tc>
          <w:tcPr>
            <w:tcW w:w="1379" w:type="dxa"/>
          </w:tcPr>
          <w:p w14:paraId="659D0EDF" w14:textId="74FEA4D6" w:rsidR="009D515D" w:rsidRDefault="009D515D" w:rsidP="009D515D">
            <w:r>
              <w:t>Safety Measures</w:t>
            </w:r>
          </w:p>
        </w:tc>
        <w:tc>
          <w:tcPr>
            <w:tcW w:w="3600" w:type="dxa"/>
          </w:tcPr>
          <w:p w14:paraId="55506DCE" w14:textId="326A5BAD" w:rsidR="009D515D" w:rsidRDefault="009D515D" w:rsidP="009D515D">
            <w:r>
              <w:t>guidance concerning contact tracers’ general safety measures and COVID-19 contagion safety.</w:t>
            </w:r>
          </w:p>
        </w:tc>
        <w:tc>
          <w:tcPr>
            <w:tcW w:w="1710" w:type="dxa"/>
          </w:tcPr>
          <w:p w14:paraId="09916E27" w14:textId="77777777" w:rsidR="009D515D" w:rsidRDefault="009D515D" w:rsidP="009D515D"/>
        </w:tc>
        <w:tc>
          <w:tcPr>
            <w:tcW w:w="810" w:type="dxa"/>
          </w:tcPr>
          <w:p w14:paraId="2B3B7A61" w14:textId="77777777" w:rsidR="009D515D" w:rsidRDefault="009D515D" w:rsidP="009D515D"/>
        </w:tc>
        <w:tc>
          <w:tcPr>
            <w:tcW w:w="1630" w:type="dxa"/>
          </w:tcPr>
          <w:p w14:paraId="23D29529" w14:textId="77777777" w:rsidR="009D515D" w:rsidRDefault="009D515D" w:rsidP="009D515D"/>
        </w:tc>
      </w:tr>
      <w:tr w:rsidR="009D515D" w14:paraId="32E5B601" w14:textId="77777777" w:rsidTr="009D515D">
        <w:tc>
          <w:tcPr>
            <w:tcW w:w="236" w:type="dxa"/>
            <w:vMerge/>
            <w:shd w:val="clear" w:color="auto" w:fill="DEEAF6" w:themeFill="accent5" w:themeFillTint="33"/>
          </w:tcPr>
          <w:p w14:paraId="302C84F3" w14:textId="77777777" w:rsidR="009D515D" w:rsidRDefault="009D515D" w:rsidP="009D515D"/>
        </w:tc>
        <w:tc>
          <w:tcPr>
            <w:tcW w:w="1379" w:type="dxa"/>
          </w:tcPr>
          <w:p w14:paraId="36F53CB0" w14:textId="2D936DB0" w:rsidR="009D515D" w:rsidRDefault="009D515D" w:rsidP="009D515D">
            <w:r>
              <w:t>Case  Contacts</w:t>
            </w:r>
          </w:p>
        </w:tc>
        <w:tc>
          <w:tcPr>
            <w:tcW w:w="3600" w:type="dxa"/>
          </w:tcPr>
          <w:p w14:paraId="792600AE" w14:textId="0BE3C152" w:rsidR="009D515D" w:rsidRDefault="009D515D" w:rsidP="009D515D">
            <w:r>
              <w:t xml:space="preserve">a variety of case contact methods </w:t>
            </w:r>
            <w:r w:rsidRPr="00931AFE">
              <w:t>(</w:t>
            </w:r>
            <w:r>
              <w:t>for example,</w:t>
            </w:r>
            <w:r w:rsidRPr="00931AFE">
              <w:t xml:space="preserve"> </w:t>
            </w:r>
            <w:r>
              <w:t xml:space="preserve">in person meetings, </w:t>
            </w:r>
            <w:r w:rsidRPr="00931AFE">
              <w:t xml:space="preserve">phone calls, text messages, referral letters, emails, social media, </w:t>
            </w:r>
            <w:r>
              <w:t xml:space="preserve">contact tracing </w:t>
            </w:r>
            <w:r w:rsidRPr="00931AFE">
              <w:t>apps)</w:t>
            </w:r>
          </w:p>
        </w:tc>
        <w:tc>
          <w:tcPr>
            <w:tcW w:w="1710" w:type="dxa"/>
          </w:tcPr>
          <w:p w14:paraId="41F4FDC2" w14:textId="77777777" w:rsidR="009D515D" w:rsidRDefault="009D515D" w:rsidP="009D515D"/>
        </w:tc>
        <w:tc>
          <w:tcPr>
            <w:tcW w:w="810" w:type="dxa"/>
          </w:tcPr>
          <w:p w14:paraId="6EB7E0B4" w14:textId="77777777" w:rsidR="009D515D" w:rsidRDefault="009D515D" w:rsidP="009D515D"/>
        </w:tc>
        <w:tc>
          <w:tcPr>
            <w:tcW w:w="1630" w:type="dxa"/>
          </w:tcPr>
          <w:p w14:paraId="1F344271" w14:textId="77777777" w:rsidR="009D515D" w:rsidRDefault="009D515D" w:rsidP="009D515D"/>
        </w:tc>
      </w:tr>
      <w:tr w:rsidR="009D515D" w14:paraId="3E47BB18" w14:textId="77777777" w:rsidTr="008F640E">
        <w:trPr>
          <w:trHeight w:val="3113"/>
        </w:trPr>
        <w:tc>
          <w:tcPr>
            <w:tcW w:w="236" w:type="dxa"/>
            <w:vMerge/>
            <w:shd w:val="clear" w:color="auto" w:fill="DEEAF6" w:themeFill="accent5" w:themeFillTint="33"/>
          </w:tcPr>
          <w:p w14:paraId="6708DBD6" w14:textId="77777777" w:rsidR="009D515D" w:rsidRDefault="009D515D" w:rsidP="009D515D"/>
        </w:tc>
        <w:tc>
          <w:tcPr>
            <w:tcW w:w="1379" w:type="dxa"/>
          </w:tcPr>
          <w:p w14:paraId="59E67D94" w14:textId="3D2F12D5" w:rsidR="009D515D" w:rsidRDefault="009D515D" w:rsidP="009D515D">
            <w:r>
              <w:t xml:space="preserve">Investigation </w:t>
            </w:r>
          </w:p>
        </w:tc>
        <w:tc>
          <w:tcPr>
            <w:tcW w:w="3600" w:type="dxa"/>
          </w:tcPr>
          <w:p w14:paraId="7A6C72A0" w14:textId="04D6CA40" w:rsidR="009D515D" w:rsidRDefault="009D515D" w:rsidP="009D515D">
            <w:r>
              <w:t>protocols for the conduct of investigations. These protocols would include investigations conducted via phone, emails, or other electronic communications as well as physically going into the community. These would include, for example, disease intervention timeline, communications, and the use of alternative third-party contacts such as  neighbors, family, etc.).</w:t>
            </w:r>
          </w:p>
        </w:tc>
        <w:tc>
          <w:tcPr>
            <w:tcW w:w="1710" w:type="dxa"/>
          </w:tcPr>
          <w:p w14:paraId="2D76587D" w14:textId="77777777" w:rsidR="009D515D" w:rsidRDefault="009D515D" w:rsidP="009D515D"/>
        </w:tc>
        <w:tc>
          <w:tcPr>
            <w:tcW w:w="810" w:type="dxa"/>
          </w:tcPr>
          <w:p w14:paraId="302D90B2" w14:textId="77777777" w:rsidR="009D515D" w:rsidRDefault="009D515D" w:rsidP="009D515D"/>
        </w:tc>
        <w:tc>
          <w:tcPr>
            <w:tcW w:w="1630" w:type="dxa"/>
          </w:tcPr>
          <w:p w14:paraId="5F14DBF9" w14:textId="77777777" w:rsidR="009D515D" w:rsidRDefault="009D515D" w:rsidP="009D515D"/>
        </w:tc>
      </w:tr>
      <w:tr w:rsidR="009D515D" w14:paraId="04D5FA75" w14:textId="77777777" w:rsidTr="009D515D">
        <w:tc>
          <w:tcPr>
            <w:tcW w:w="236" w:type="dxa"/>
            <w:vMerge/>
            <w:shd w:val="clear" w:color="auto" w:fill="DEEAF6" w:themeFill="accent5" w:themeFillTint="33"/>
          </w:tcPr>
          <w:p w14:paraId="6C5901BF" w14:textId="77777777" w:rsidR="009D515D" w:rsidRDefault="009D515D" w:rsidP="009D515D"/>
        </w:tc>
        <w:tc>
          <w:tcPr>
            <w:tcW w:w="1379" w:type="dxa"/>
          </w:tcPr>
          <w:p w14:paraId="2DA4E7D6" w14:textId="6EBBBC7C" w:rsidR="009D515D" w:rsidRDefault="009D515D" w:rsidP="009D515D">
            <w:r>
              <w:t>Case Encounters and Interviews</w:t>
            </w:r>
          </w:p>
        </w:tc>
        <w:tc>
          <w:tcPr>
            <w:tcW w:w="3600" w:type="dxa"/>
          </w:tcPr>
          <w:p w14:paraId="2A5EC281" w14:textId="333ADAE2" w:rsidR="009D515D" w:rsidRDefault="009D515D" w:rsidP="009D515D">
            <w:r>
              <w:t xml:space="preserve">protocol for </w:t>
            </w:r>
            <w:r w:rsidRPr="008D7387">
              <w:t>case encounters</w:t>
            </w:r>
            <w:r>
              <w:t xml:space="preserve"> including: team members; </w:t>
            </w:r>
            <w:r w:rsidRPr="008D7387">
              <w:t>client</w:t>
            </w:r>
            <w:r>
              <w:t xml:space="preserve"> education and counseling concerning signs and symptoms of COVID-19 and the need for isolation/quarantine; gaining information about the client’s contacts; and referral to needed medical, community, and social service resources. </w:t>
            </w:r>
            <w:r w:rsidRPr="001D713D">
              <w:t xml:space="preserve">These would include, for example, </w:t>
            </w:r>
            <w:r>
              <w:t xml:space="preserve">verifying client identity, </w:t>
            </w:r>
            <w:r w:rsidRPr="001D713D">
              <w:t>promoting a comfortable environment for the client,</w:t>
            </w:r>
            <w:r>
              <w:t xml:space="preserve"> collaborating with the client concerning isolation/quarantine/ medical care, and using effective communication.</w:t>
            </w:r>
          </w:p>
        </w:tc>
        <w:tc>
          <w:tcPr>
            <w:tcW w:w="1710" w:type="dxa"/>
          </w:tcPr>
          <w:p w14:paraId="10588677" w14:textId="77777777" w:rsidR="009D515D" w:rsidRDefault="009D515D" w:rsidP="009D515D"/>
        </w:tc>
        <w:tc>
          <w:tcPr>
            <w:tcW w:w="810" w:type="dxa"/>
          </w:tcPr>
          <w:p w14:paraId="2F2B2E2A" w14:textId="77777777" w:rsidR="009D515D" w:rsidRDefault="009D515D" w:rsidP="009D515D"/>
        </w:tc>
        <w:tc>
          <w:tcPr>
            <w:tcW w:w="1630" w:type="dxa"/>
          </w:tcPr>
          <w:p w14:paraId="2696DE2C" w14:textId="77777777" w:rsidR="009D515D" w:rsidRDefault="009D515D" w:rsidP="009D515D"/>
        </w:tc>
      </w:tr>
      <w:tr w:rsidR="009D515D" w14:paraId="1382F1B4" w14:textId="77777777" w:rsidTr="009D515D">
        <w:tc>
          <w:tcPr>
            <w:tcW w:w="236" w:type="dxa"/>
            <w:vMerge/>
            <w:shd w:val="clear" w:color="auto" w:fill="DEEAF6" w:themeFill="accent5" w:themeFillTint="33"/>
          </w:tcPr>
          <w:p w14:paraId="12591F68" w14:textId="77777777" w:rsidR="009D515D" w:rsidRDefault="009D515D" w:rsidP="009D515D"/>
        </w:tc>
        <w:tc>
          <w:tcPr>
            <w:tcW w:w="1379" w:type="dxa"/>
          </w:tcPr>
          <w:p w14:paraId="00169C98" w14:textId="2609C74E" w:rsidR="009D515D" w:rsidRDefault="009D515D" w:rsidP="009D515D">
            <w:r>
              <w:t>Medical Monitoring Support</w:t>
            </w:r>
          </w:p>
        </w:tc>
        <w:tc>
          <w:tcPr>
            <w:tcW w:w="3600" w:type="dxa"/>
          </w:tcPr>
          <w:p w14:paraId="7E823574" w14:textId="2341B3CE" w:rsidR="009D515D" w:rsidRDefault="009D515D" w:rsidP="009D515D">
            <w:r>
              <w:t>s</w:t>
            </w:r>
            <w:r w:rsidRPr="00DE699C">
              <w:t xml:space="preserve">upport </w:t>
            </w:r>
            <w:r>
              <w:t xml:space="preserve">home care </w:t>
            </w:r>
            <w:r w:rsidRPr="00DE699C">
              <w:t>medical monitoring</w:t>
            </w:r>
            <w:r>
              <w:t>, as possible,</w:t>
            </w:r>
            <w:r w:rsidRPr="00DE699C">
              <w:t xml:space="preserve"> includ</w:t>
            </w:r>
            <w:r>
              <w:t>ing</w:t>
            </w:r>
            <w:r w:rsidRPr="00DE699C">
              <w:t xml:space="preserve"> patient care packages (</w:t>
            </w:r>
            <w:r>
              <w:t>for example</w:t>
            </w:r>
            <w:r w:rsidRPr="00DE699C">
              <w:t>, thermometers, sanitizers, mask, gloves) and technological supports for medical monitoring (</w:t>
            </w:r>
            <w:r>
              <w:t>for example</w:t>
            </w:r>
            <w:r w:rsidRPr="00DE699C">
              <w:t>, mobile phone apps).</w:t>
            </w:r>
          </w:p>
        </w:tc>
        <w:tc>
          <w:tcPr>
            <w:tcW w:w="1710" w:type="dxa"/>
          </w:tcPr>
          <w:p w14:paraId="644992DC" w14:textId="77777777" w:rsidR="009D515D" w:rsidRDefault="009D515D" w:rsidP="009D515D"/>
        </w:tc>
        <w:tc>
          <w:tcPr>
            <w:tcW w:w="810" w:type="dxa"/>
          </w:tcPr>
          <w:p w14:paraId="7593E2CD" w14:textId="77777777" w:rsidR="009D515D" w:rsidRDefault="009D515D" w:rsidP="009D515D"/>
        </w:tc>
        <w:tc>
          <w:tcPr>
            <w:tcW w:w="1630" w:type="dxa"/>
          </w:tcPr>
          <w:p w14:paraId="4570CD5B" w14:textId="77777777" w:rsidR="009D515D" w:rsidRDefault="009D515D" w:rsidP="009D515D"/>
        </w:tc>
      </w:tr>
      <w:tr w:rsidR="009D515D" w14:paraId="46DC99F3" w14:textId="77777777" w:rsidTr="009D515D">
        <w:tc>
          <w:tcPr>
            <w:tcW w:w="236" w:type="dxa"/>
            <w:vMerge/>
            <w:shd w:val="clear" w:color="auto" w:fill="DEEAF6" w:themeFill="accent5" w:themeFillTint="33"/>
          </w:tcPr>
          <w:p w14:paraId="334895D3" w14:textId="77777777" w:rsidR="009D515D" w:rsidRDefault="009D515D" w:rsidP="009D515D"/>
        </w:tc>
        <w:tc>
          <w:tcPr>
            <w:tcW w:w="1379" w:type="dxa"/>
          </w:tcPr>
          <w:p w14:paraId="02A87BF9" w14:textId="56571525" w:rsidR="009D515D" w:rsidRDefault="009D515D" w:rsidP="009D515D">
            <w:r>
              <w:t>Case Analysis</w:t>
            </w:r>
          </w:p>
        </w:tc>
        <w:tc>
          <w:tcPr>
            <w:tcW w:w="3600" w:type="dxa"/>
          </w:tcPr>
          <w:p w14:paraId="14A8BB67" w14:textId="439B8711" w:rsidR="009D515D" w:rsidRDefault="009D515D" w:rsidP="009D515D">
            <w:r>
              <w:t>the c</w:t>
            </w:r>
            <w:r w:rsidRPr="00142E0B">
              <w:t xml:space="preserve">onduct </w:t>
            </w:r>
            <w:r>
              <w:t xml:space="preserve">of </w:t>
            </w:r>
            <w:r w:rsidRPr="00142E0B">
              <w:t>case analysis to determine additional steps for intervention according to local COVID19 protocol</w:t>
            </w:r>
            <w:r>
              <w:t>.</w:t>
            </w:r>
          </w:p>
        </w:tc>
        <w:tc>
          <w:tcPr>
            <w:tcW w:w="1710" w:type="dxa"/>
          </w:tcPr>
          <w:p w14:paraId="282A1DE3" w14:textId="77777777" w:rsidR="009D515D" w:rsidRDefault="009D515D" w:rsidP="009D515D"/>
        </w:tc>
        <w:tc>
          <w:tcPr>
            <w:tcW w:w="810" w:type="dxa"/>
          </w:tcPr>
          <w:p w14:paraId="72C9522C" w14:textId="77777777" w:rsidR="009D515D" w:rsidRDefault="009D515D" w:rsidP="009D515D"/>
        </w:tc>
        <w:tc>
          <w:tcPr>
            <w:tcW w:w="1630" w:type="dxa"/>
          </w:tcPr>
          <w:p w14:paraId="3062517B" w14:textId="77777777" w:rsidR="009D515D" w:rsidRDefault="009D515D" w:rsidP="009D515D"/>
        </w:tc>
      </w:tr>
      <w:tr w:rsidR="009D515D" w14:paraId="2D289012" w14:textId="77777777" w:rsidTr="009D515D">
        <w:tc>
          <w:tcPr>
            <w:tcW w:w="236" w:type="dxa"/>
            <w:vMerge/>
            <w:shd w:val="clear" w:color="auto" w:fill="DEEAF6" w:themeFill="accent5" w:themeFillTint="33"/>
          </w:tcPr>
          <w:p w14:paraId="4C2ADA6A" w14:textId="77777777" w:rsidR="009D515D" w:rsidRDefault="009D515D" w:rsidP="009D515D"/>
        </w:tc>
        <w:tc>
          <w:tcPr>
            <w:tcW w:w="1379" w:type="dxa"/>
          </w:tcPr>
          <w:p w14:paraId="2309FF6F" w14:textId="5F0D8340" w:rsidR="009D515D" w:rsidRDefault="009D515D" w:rsidP="009D515D">
            <w:r>
              <w:t>Case Services</w:t>
            </w:r>
          </w:p>
        </w:tc>
        <w:tc>
          <w:tcPr>
            <w:tcW w:w="3600" w:type="dxa"/>
          </w:tcPr>
          <w:p w14:paraId="51990084" w14:textId="3F3DD1BB" w:rsidR="009D515D" w:rsidRDefault="009D515D" w:rsidP="009D515D">
            <w:r>
              <w:t>the assignment of</w:t>
            </w:r>
            <w:r w:rsidRPr="00CA5748">
              <w:t xml:space="preserve"> clients to isolation and quarantine, as well as a social service</w:t>
            </w:r>
            <w:r>
              <w:t>s</w:t>
            </w:r>
            <w:r w:rsidRPr="00CA5748">
              <w:t xml:space="preserve"> to make sure the client has the needed resources to stay in isolation or quarantine (food; medicines; medical items such as thermometer, oxygen level reader; communication vehicles such as a phone; etc.)</w:t>
            </w:r>
          </w:p>
        </w:tc>
        <w:tc>
          <w:tcPr>
            <w:tcW w:w="1710" w:type="dxa"/>
          </w:tcPr>
          <w:p w14:paraId="75B5B4D2" w14:textId="77777777" w:rsidR="009D515D" w:rsidRDefault="009D515D" w:rsidP="009D515D"/>
        </w:tc>
        <w:tc>
          <w:tcPr>
            <w:tcW w:w="810" w:type="dxa"/>
          </w:tcPr>
          <w:p w14:paraId="56E6D991" w14:textId="77777777" w:rsidR="009D515D" w:rsidRDefault="009D515D" w:rsidP="009D515D"/>
        </w:tc>
        <w:tc>
          <w:tcPr>
            <w:tcW w:w="1630" w:type="dxa"/>
          </w:tcPr>
          <w:p w14:paraId="7135847C" w14:textId="77777777" w:rsidR="009D515D" w:rsidRDefault="009D515D" w:rsidP="009D515D"/>
        </w:tc>
      </w:tr>
      <w:tr w:rsidR="009D515D" w14:paraId="78BB40A6" w14:textId="77777777" w:rsidTr="009D515D">
        <w:tc>
          <w:tcPr>
            <w:tcW w:w="236" w:type="dxa"/>
            <w:vMerge/>
            <w:shd w:val="clear" w:color="auto" w:fill="DEEAF6" w:themeFill="accent5" w:themeFillTint="33"/>
          </w:tcPr>
          <w:p w14:paraId="155974F0" w14:textId="77777777" w:rsidR="009D515D" w:rsidRDefault="009D515D" w:rsidP="009D515D"/>
        </w:tc>
        <w:tc>
          <w:tcPr>
            <w:tcW w:w="1379" w:type="dxa"/>
          </w:tcPr>
          <w:p w14:paraId="23E7C73F" w14:textId="39377692" w:rsidR="009D515D" w:rsidRDefault="009D515D" w:rsidP="009D515D">
            <w:r>
              <w:t>Surveillance</w:t>
            </w:r>
          </w:p>
        </w:tc>
        <w:tc>
          <w:tcPr>
            <w:tcW w:w="3600" w:type="dxa"/>
          </w:tcPr>
          <w:p w14:paraId="0DD38E3C" w14:textId="60ED0C89" w:rsidR="009D515D" w:rsidRDefault="009D515D" w:rsidP="009D515D">
            <w:r>
              <w:t>the collection of population surveillance information and data entry.</w:t>
            </w:r>
          </w:p>
        </w:tc>
        <w:tc>
          <w:tcPr>
            <w:tcW w:w="1710" w:type="dxa"/>
          </w:tcPr>
          <w:p w14:paraId="08045F2E" w14:textId="77777777" w:rsidR="009D515D" w:rsidRDefault="009D515D" w:rsidP="009D515D"/>
        </w:tc>
        <w:tc>
          <w:tcPr>
            <w:tcW w:w="810" w:type="dxa"/>
          </w:tcPr>
          <w:p w14:paraId="2AC410D9" w14:textId="77777777" w:rsidR="009D515D" w:rsidRDefault="009D515D" w:rsidP="009D515D"/>
        </w:tc>
        <w:tc>
          <w:tcPr>
            <w:tcW w:w="1630" w:type="dxa"/>
          </w:tcPr>
          <w:p w14:paraId="3EC723F5" w14:textId="77777777" w:rsidR="009D515D" w:rsidRDefault="009D515D" w:rsidP="009D515D"/>
        </w:tc>
      </w:tr>
      <w:tr w:rsidR="009D515D" w14:paraId="34EF2DB6" w14:textId="77777777" w:rsidTr="009D515D">
        <w:trPr>
          <w:trHeight w:val="1880"/>
        </w:trPr>
        <w:tc>
          <w:tcPr>
            <w:tcW w:w="236" w:type="dxa"/>
            <w:vMerge/>
            <w:shd w:val="clear" w:color="auto" w:fill="DEEAF6" w:themeFill="accent5" w:themeFillTint="33"/>
          </w:tcPr>
          <w:p w14:paraId="70D16EF0" w14:textId="77777777" w:rsidR="009D515D" w:rsidRDefault="009D515D" w:rsidP="009D515D"/>
        </w:tc>
        <w:tc>
          <w:tcPr>
            <w:tcW w:w="1379" w:type="dxa"/>
          </w:tcPr>
          <w:p w14:paraId="2D99CF45" w14:textId="7DA61925" w:rsidR="009D515D" w:rsidRDefault="009D515D" w:rsidP="009D515D">
            <w:r>
              <w:t xml:space="preserve">Follow-up </w:t>
            </w:r>
          </w:p>
        </w:tc>
        <w:tc>
          <w:tcPr>
            <w:tcW w:w="3600" w:type="dxa"/>
          </w:tcPr>
          <w:p w14:paraId="00B15B11" w14:textId="47952817" w:rsidR="009D515D" w:rsidRDefault="009D515D" w:rsidP="009D515D">
            <w:r>
              <w:t xml:space="preserve">the verification </w:t>
            </w:r>
            <w:r w:rsidRPr="0017048B">
              <w:t>that client</w:t>
            </w:r>
            <w:r>
              <w:t>s</w:t>
            </w:r>
            <w:r w:rsidRPr="0017048B">
              <w:t xml:space="preserve"> received </w:t>
            </w:r>
            <w:r>
              <w:t xml:space="preserve">needed services including, for example, </w:t>
            </w:r>
            <w:r w:rsidRPr="0017048B">
              <w:t>testing, treatment, and support services</w:t>
            </w:r>
            <w:r>
              <w:t>,</w:t>
            </w:r>
            <w:r w:rsidRPr="0017048B">
              <w:t xml:space="preserve"> as appropriate</w:t>
            </w:r>
            <w:r>
              <w:t xml:space="preserve">. Protocol for the provision for subsequent client interview and follow-up counseling, as needed should be in place. </w:t>
            </w:r>
          </w:p>
        </w:tc>
        <w:tc>
          <w:tcPr>
            <w:tcW w:w="1710" w:type="dxa"/>
          </w:tcPr>
          <w:p w14:paraId="2EFF5C37" w14:textId="77777777" w:rsidR="009D515D" w:rsidRDefault="009D515D" w:rsidP="009D515D"/>
        </w:tc>
        <w:tc>
          <w:tcPr>
            <w:tcW w:w="810" w:type="dxa"/>
          </w:tcPr>
          <w:p w14:paraId="158176F0" w14:textId="77777777" w:rsidR="009D515D" w:rsidRDefault="009D515D" w:rsidP="009D515D"/>
        </w:tc>
        <w:tc>
          <w:tcPr>
            <w:tcW w:w="1630" w:type="dxa"/>
          </w:tcPr>
          <w:p w14:paraId="22BC82B5" w14:textId="77777777" w:rsidR="009D515D" w:rsidRDefault="009D515D" w:rsidP="009D515D"/>
        </w:tc>
      </w:tr>
      <w:tr w:rsidR="009D515D" w14:paraId="62B3310D" w14:textId="77777777" w:rsidTr="009D515D">
        <w:tc>
          <w:tcPr>
            <w:tcW w:w="1615" w:type="dxa"/>
            <w:gridSpan w:val="2"/>
            <w:vMerge w:val="restart"/>
          </w:tcPr>
          <w:p w14:paraId="775884CB" w14:textId="41A3C8BA" w:rsidR="009D515D" w:rsidRDefault="009D515D" w:rsidP="009D515D">
            <w:r>
              <w:t xml:space="preserve">Case Management </w:t>
            </w:r>
          </w:p>
        </w:tc>
        <w:tc>
          <w:tcPr>
            <w:tcW w:w="3600" w:type="dxa"/>
          </w:tcPr>
          <w:p w14:paraId="19EB61D3" w14:textId="4444B86C" w:rsidR="009D515D" w:rsidRDefault="009D515D" w:rsidP="009D515D">
            <w:r>
              <w:t xml:space="preserve">identification of needed case management information specific to COVID-19. </w:t>
            </w:r>
          </w:p>
        </w:tc>
        <w:tc>
          <w:tcPr>
            <w:tcW w:w="1710" w:type="dxa"/>
          </w:tcPr>
          <w:p w14:paraId="76149BB7" w14:textId="77777777" w:rsidR="009D515D" w:rsidRDefault="009D515D" w:rsidP="009D515D"/>
        </w:tc>
        <w:tc>
          <w:tcPr>
            <w:tcW w:w="810" w:type="dxa"/>
          </w:tcPr>
          <w:p w14:paraId="0FA6A0F0" w14:textId="77777777" w:rsidR="009D515D" w:rsidRDefault="009D515D" w:rsidP="009D515D"/>
        </w:tc>
        <w:tc>
          <w:tcPr>
            <w:tcW w:w="1630" w:type="dxa"/>
          </w:tcPr>
          <w:p w14:paraId="0678C892" w14:textId="77777777" w:rsidR="009D515D" w:rsidRDefault="009D515D" w:rsidP="009D515D"/>
        </w:tc>
      </w:tr>
      <w:tr w:rsidR="009D515D" w14:paraId="5B6D2472" w14:textId="77777777" w:rsidTr="009D515D">
        <w:tc>
          <w:tcPr>
            <w:tcW w:w="1615" w:type="dxa"/>
            <w:gridSpan w:val="2"/>
            <w:vMerge/>
          </w:tcPr>
          <w:p w14:paraId="17B4D5DD" w14:textId="77777777" w:rsidR="009D515D" w:rsidRDefault="009D515D" w:rsidP="009D515D"/>
        </w:tc>
        <w:tc>
          <w:tcPr>
            <w:tcW w:w="3600" w:type="dxa"/>
          </w:tcPr>
          <w:p w14:paraId="0F7D2F05" w14:textId="1BFB07B6" w:rsidR="009D515D" w:rsidRDefault="009D515D" w:rsidP="009D515D">
            <w:r>
              <w:t>the d</w:t>
            </w:r>
            <w:r w:rsidRPr="00B60F78">
              <w:t>ocument</w:t>
            </w:r>
            <w:r>
              <w:t xml:space="preserve">ation (data entry) of individual </w:t>
            </w:r>
            <w:r w:rsidRPr="00B60F78">
              <w:t>intervention activities in a timely manner per local COVID</w:t>
            </w:r>
            <w:r>
              <w:t>-</w:t>
            </w:r>
            <w:r w:rsidRPr="00B60F78">
              <w:t>19 protocol</w:t>
            </w:r>
            <w:r>
              <w:t>. A standard form or format will be required.</w:t>
            </w:r>
          </w:p>
        </w:tc>
        <w:tc>
          <w:tcPr>
            <w:tcW w:w="1710" w:type="dxa"/>
          </w:tcPr>
          <w:p w14:paraId="50817AFA" w14:textId="77777777" w:rsidR="009D515D" w:rsidRDefault="009D515D" w:rsidP="009D515D"/>
        </w:tc>
        <w:tc>
          <w:tcPr>
            <w:tcW w:w="810" w:type="dxa"/>
          </w:tcPr>
          <w:p w14:paraId="1257B073" w14:textId="77777777" w:rsidR="009D515D" w:rsidRDefault="009D515D" w:rsidP="009D515D"/>
        </w:tc>
        <w:tc>
          <w:tcPr>
            <w:tcW w:w="1630" w:type="dxa"/>
          </w:tcPr>
          <w:p w14:paraId="4918E745" w14:textId="77777777" w:rsidR="009D515D" w:rsidRDefault="009D515D" w:rsidP="009D515D"/>
        </w:tc>
      </w:tr>
    </w:tbl>
    <w:p w14:paraId="1354AEDA" w14:textId="77777777" w:rsidR="00BC3F88" w:rsidRDefault="00BC3F88"/>
    <w:p w14:paraId="3A715D31" w14:textId="77777777" w:rsidR="00BC3F88" w:rsidRDefault="00BC3F88"/>
    <w:p w14:paraId="3C9B39D6" w14:textId="77777777" w:rsidR="006D5C7C" w:rsidRDefault="006D5C7C" w:rsidP="00BC3F88">
      <w:pPr>
        <w:jc w:val="center"/>
        <w:rPr>
          <w:b/>
          <w:bCs/>
          <w:color w:val="0070C0"/>
          <w:sz w:val="28"/>
          <w:szCs w:val="28"/>
        </w:rPr>
      </w:pPr>
      <w:r>
        <w:rPr>
          <w:b/>
          <w:bCs/>
          <w:color w:val="0070C0"/>
          <w:sz w:val="28"/>
          <w:szCs w:val="28"/>
        </w:rPr>
        <w:br/>
      </w:r>
    </w:p>
    <w:p w14:paraId="273B6947" w14:textId="2A06A9B9" w:rsidR="00142E0B" w:rsidRDefault="00142E0B" w:rsidP="00BC3F88">
      <w:pPr>
        <w:jc w:val="center"/>
        <w:rPr>
          <w:b/>
          <w:bCs/>
          <w:color w:val="0070C0"/>
          <w:sz w:val="28"/>
          <w:szCs w:val="28"/>
        </w:rPr>
      </w:pPr>
      <w:r>
        <w:rPr>
          <w:b/>
          <w:bCs/>
          <w:color w:val="0070C0"/>
          <w:sz w:val="28"/>
          <w:szCs w:val="28"/>
        </w:rPr>
        <w:lastRenderedPageBreak/>
        <w:t xml:space="preserve">COVID-19 </w:t>
      </w:r>
      <w:r w:rsidR="00BC3F88" w:rsidRPr="00765439">
        <w:rPr>
          <w:b/>
          <w:bCs/>
          <w:color w:val="0070C0"/>
          <w:sz w:val="28"/>
          <w:szCs w:val="28"/>
        </w:rPr>
        <w:t xml:space="preserve">CONTACT TRACING </w:t>
      </w:r>
    </w:p>
    <w:p w14:paraId="18D4E62F" w14:textId="6CB01446" w:rsidR="00BC3F88" w:rsidRDefault="00BC3F88" w:rsidP="00783F41">
      <w:pPr>
        <w:jc w:val="center"/>
        <w:rPr>
          <w:b/>
          <w:bCs/>
          <w:color w:val="0070C0"/>
          <w:sz w:val="36"/>
          <w:szCs w:val="36"/>
        </w:rPr>
      </w:pPr>
      <w:r w:rsidRPr="007415A4">
        <w:rPr>
          <w:b/>
          <w:bCs/>
          <w:color w:val="0070C0"/>
          <w:sz w:val="36"/>
          <w:szCs w:val="36"/>
        </w:rPr>
        <w:t xml:space="preserve">INFRASTRUCTURE </w:t>
      </w:r>
      <w:r w:rsidR="00142E0B" w:rsidRPr="007415A4">
        <w:rPr>
          <w:b/>
          <w:bCs/>
          <w:color w:val="0070C0"/>
          <w:sz w:val="36"/>
          <w:szCs w:val="36"/>
        </w:rPr>
        <w:t xml:space="preserve"> </w:t>
      </w:r>
      <w:r w:rsidRPr="007415A4">
        <w:rPr>
          <w:b/>
          <w:bCs/>
          <w:color w:val="0070C0"/>
          <w:sz w:val="36"/>
          <w:szCs w:val="36"/>
        </w:rPr>
        <w:t>CHECKLIST</w:t>
      </w:r>
    </w:p>
    <w:tbl>
      <w:tblPr>
        <w:tblStyle w:val="TableGrid"/>
        <w:tblW w:w="0" w:type="auto"/>
        <w:tblLook w:val="04A0" w:firstRow="1" w:lastRow="0" w:firstColumn="1" w:lastColumn="0" w:noHBand="0" w:noVBand="1"/>
      </w:tblPr>
      <w:tblGrid>
        <w:gridCol w:w="9350"/>
      </w:tblGrid>
      <w:tr w:rsidR="004E5AA5" w14:paraId="4016D6CD" w14:textId="77777777" w:rsidTr="004E5AA5">
        <w:tc>
          <w:tcPr>
            <w:tcW w:w="9350" w:type="dxa"/>
            <w:shd w:val="clear" w:color="auto" w:fill="DEEAF6" w:themeFill="accent5" w:themeFillTint="33"/>
          </w:tcPr>
          <w:p w14:paraId="23E5C081" w14:textId="5EAF56D4" w:rsidR="004E5AA5" w:rsidRDefault="004E5AA5" w:rsidP="004E5AA5">
            <w:pPr>
              <w:jc w:val="both"/>
            </w:pPr>
            <w:r w:rsidRPr="00B94FC1">
              <w:t xml:space="preserve">The health department will need to ensure </w:t>
            </w:r>
            <w:r>
              <w:t xml:space="preserve">that it has the infrastructure in place to support an expanded contact tracing effort for the implementation of a COVID-19 response and mitigation program. </w:t>
            </w:r>
            <w:r w:rsidRPr="00DC4A12">
              <w:t xml:space="preserve">Some of the </w:t>
            </w:r>
            <w:r>
              <w:t>infrastructure and systems may</w:t>
            </w:r>
            <w:r w:rsidRPr="00DC4A12">
              <w:t xml:space="preserve"> already be in place, as functions of the</w:t>
            </w:r>
            <w:r>
              <w:t xml:space="preserve"> health department’s administration and management functions. </w:t>
            </w:r>
            <w:r w:rsidRPr="00DC4A12">
              <w:t xml:space="preserve">Some elements will need to be strengthened and quickly expanded. Other, COVID-19 specific elements, will need to be developed. </w:t>
            </w:r>
            <w:r>
              <w:t xml:space="preserve"> </w:t>
            </w:r>
          </w:p>
        </w:tc>
      </w:tr>
    </w:tbl>
    <w:p w14:paraId="3A06B68B" w14:textId="5D108AF2" w:rsidR="00E527E3" w:rsidRPr="004E5AA5" w:rsidRDefault="00E527E3" w:rsidP="00E527E3">
      <w:pPr>
        <w:rPr>
          <w:b/>
          <w:bCs/>
          <w:color w:val="0070C0"/>
          <w:sz w:val="20"/>
          <w:szCs w:val="20"/>
        </w:rPr>
      </w:pPr>
    </w:p>
    <w:tbl>
      <w:tblPr>
        <w:tblStyle w:val="TableGrid"/>
        <w:tblW w:w="0" w:type="auto"/>
        <w:tblLook w:val="04A0" w:firstRow="1" w:lastRow="0" w:firstColumn="1" w:lastColumn="0" w:noHBand="0" w:noVBand="1"/>
      </w:tblPr>
      <w:tblGrid>
        <w:gridCol w:w="355"/>
        <w:gridCol w:w="1435"/>
        <w:gridCol w:w="3528"/>
        <w:gridCol w:w="1455"/>
        <w:gridCol w:w="1269"/>
        <w:gridCol w:w="1308"/>
      </w:tblGrid>
      <w:tr w:rsidR="00A87421" w14:paraId="775AF393" w14:textId="77777777" w:rsidTr="008F640E">
        <w:trPr>
          <w:tblHeader/>
        </w:trPr>
        <w:tc>
          <w:tcPr>
            <w:tcW w:w="1790" w:type="dxa"/>
            <w:gridSpan w:val="2"/>
            <w:shd w:val="clear" w:color="auto" w:fill="9CC2E5" w:themeFill="accent5" w:themeFillTint="99"/>
          </w:tcPr>
          <w:p w14:paraId="00F8721D" w14:textId="5463DCA0" w:rsidR="00931AFE" w:rsidRPr="00B83DCA" w:rsidRDefault="00BC3F88" w:rsidP="00B83DCA">
            <w:pPr>
              <w:jc w:val="center"/>
              <w:rPr>
                <w:b/>
                <w:bCs/>
              </w:rPr>
            </w:pPr>
            <w:r w:rsidRPr="00B83DCA">
              <w:rPr>
                <w:b/>
                <w:bCs/>
              </w:rPr>
              <w:t>Capacity</w:t>
            </w:r>
          </w:p>
        </w:tc>
        <w:tc>
          <w:tcPr>
            <w:tcW w:w="3528" w:type="dxa"/>
            <w:shd w:val="clear" w:color="auto" w:fill="9CC2E5" w:themeFill="accent5" w:themeFillTint="99"/>
          </w:tcPr>
          <w:p w14:paraId="563E6154" w14:textId="549BE906" w:rsidR="00931AFE" w:rsidRPr="00B83DCA" w:rsidRDefault="00CB2C63" w:rsidP="00B83DCA">
            <w:pPr>
              <w:jc w:val="center"/>
              <w:rPr>
                <w:b/>
                <w:bCs/>
              </w:rPr>
            </w:pPr>
            <w:r w:rsidRPr="00B83DCA">
              <w:rPr>
                <w:b/>
                <w:bCs/>
              </w:rPr>
              <w:t>Plans, protocols, or procedures for:</w:t>
            </w:r>
          </w:p>
        </w:tc>
        <w:tc>
          <w:tcPr>
            <w:tcW w:w="1455" w:type="dxa"/>
            <w:shd w:val="clear" w:color="auto" w:fill="9CC2E5" w:themeFill="accent5" w:themeFillTint="99"/>
          </w:tcPr>
          <w:p w14:paraId="3228C675" w14:textId="6C226571" w:rsidR="00931AFE" w:rsidRPr="00B83DCA" w:rsidRDefault="005830E9" w:rsidP="00B83DCA">
            <w:pPr>
              <w:jc w:val="center"/>
              <w:rPr>
                <w:b/>
                <w:bCs/>
              </w:rPr>
            </w:pPr>
            <w:r w:rsidRPr="00B83DCA">
              <w:rPr>
                <w:b/>
                <w:bCs/>
              </w:rPr>
              <w:t>In Development</w:t>
            </w:r>
          </w:p>
        </w:tc>
        <w:tc>
          <w:tcPr>
            <w:tcW w:w="1269" w:type="dxa"/>
            <w:shd w:val="clear" w:color="auto" w:fill="9CC2E5" w:themeFill="accent5" w:themeFillTint="99"/>
          </w:tcPr>
          <w:p w14:paraId="61524DDE" w14:textId="31E24EAB" w:rsidR="00931AFE" w:rsidRPr="00B83DCA" w:rsidRDefault="005830E9" w:rsidP="00B83DCA">
            <w:pPr>
              <w:jc w:val="center"/>
              <w:rPr>
                <w:b/>
                <w:bCs/>
              </w:rPr>
            </w:pPr>
            <w:r w:rsidRPr="00B83DCA">
              <w:rPr>
                <w:b/>
                <w:bCs/>
              </w:rPr>
              <w:t>In Place</w:t>
            </w:r>
          </w:p>
        </w:tc>
        <w:tc>
          <w:tcPr>
            <w:tcW w:w="1308" w:type="dxa"/>
            <w:shd w:val="clear" w:color="auto" w:fill="9CC2E5" w:themeFill="accent5" w:themeFillTint="99"/>
          </w:tcPr>
          <w:p w14:paraId="2D8235E9" w14:textId="0EB787D2" w:rsidR="00931AFE" w:rsidRPr="00B83DCA" w:rsidRDefault="005830E9" w:rsidP="00B83DCA">
            <w:pPr>
              <w:jc w:val="center"/>
              <w:rPr>
                <w:b/>
                <w:bCs/>
              </w:rPr>
            </w:pPr>
            <w:r w:rsidRPr="00B83DCA">
              <w:rPr>
                <w:b/>
                <w:bCs/>
              </w:rPr>
              <w:t>Person/unit assigned</w:t>
            </w:r>
          </w:p>
        </w:tc>
      </w:tr>
      <w:tr w:rsidR="003800F1" w14:paraId="09DE90DF" w14:textId="77777777" w:rsidTr="008F640E">
        <w:tc>
          <w:tcPr>
            <w:tcW w:w="1790" w:type="dxa"/>
            <w:gridSpan w:val="2"/>
            <w:vMerge w:val="restart"/>
          </w:tcPr>
          <w:p w14:paraId="330E94F0" w14:textId="7C86DC98" w:rsidR="003800F1" w:rsidRDefault="003800F1">
            <w:r>
              <w:t>Data Collection</w:t>
            </w:r>
          </w:p>
        </w:tc>
        <w:tc>
          <w:tcPr>
            <w:tcW w:w="3528" w:type="dxa"/>
          </w:tcPr>
          <w:p w14:paraId="517495A0" w14:textId="009B6B6C" w:rsidR="003800F1" w:rsidRDefault="003800F1">
            <w:r>
              <w:t>the active collection of data and its entry into health department data bases.</w:t>
            </w:r>
          </w:p>
        </w:tc>
        <w:tc>
          <w:tcPr>
            <w:tcW w:w="1455" w:type="dxa"/>
          </w:tcPr>
          <w:p w14:paraId="009CFE2F" w14:textId="77777777" w:rsidR="003800F1" w:rsidRDefault="003800F1"/>
        </w:tc>
        <w:tc>
          <w:tcPr>
            <w:tcW w:w="1269" w:type="dxa"/>
          </w:tcPr>
          <w:p w14:paraId="21D0097F" w14:textId="77777777" w:rsidR="003800F1" w:rsidRDefault="003800F1"/>
        </w:tc>
        <w:tc>
          <w:tcPr>
            <w:tcW w:w="1308" w:type="dxa"/>
          </w:tcPr>
          <w:p w14:paraId="45091E5C" w14:textId="77777777" w:rsidR="003800F1" w:rsidRDefault="003800F1"/>
        </w:tc>
      </w:tr>
      <w:tr w:rsidR="003800F1" w14:paraId="08D16450" w14:textId="77777777" w:rsidTr="008F640E">
        <w:tc>
          <w:tcPr>
            <w:tcW w:w="1790" w:type="dxa"/>
            <w:gridSpan w:val="2"/>
            <w:vMerge/>
          </w:tcPr>
          <w:p w14:paraId="6B217EDB" w14:textId="77777777" w:rsidR="003800F1" w:rsidRDefault="003800F1"/>
        </w:tc>
        <w:tc>
          <w:tcPr>
            <w:tcW w:w="3528" w:type="dxa"/>
          </w:tcPr>
          <w:p w14:paraId="7F0C8972" w14:textId="5F6D1CAF" w:rsidR="003800F1" w:rsidRDefault="003800F1">
            <w:r>
              <w:t>an automated case management system for the collection of case information.</w:t>
            </w:r>
          </w:p>
        </w:tc>
        <w:tc>
          <w:tcPr>
            <w:tcW w:w="1455" w:type="dxa"/>
          </w:tcPr>
          <w:p w14:paraId="1F01DE37" w14:textId="77777777" w:rsidR="003800F1" w:rsidRDefault="003800F1"/>
        </w:tc>
        <w:tc>
          <w:tcPr>
            <w:tcW w:w="1269" w:type="dxa"/>
          </w:tcPr>
          <w:p w14:paraId="25B6AAF1" w14:textId="77777777" w:rsidR="003800F1" w:rsidRDefault="003800F1"/>
        </w:tc>
        <w:tc>
          <w:tcPr>
            <w:tcW w:w="1308" w:type="dxa"/>
          </w:tcPr>
          <w:p w14:paraId="6BC8938C" w14:textId="77777777" w:rsidR="003800F1" w:rsidRDefault="003800F1"/>
        </w:tc>
      </w:tr>
      <w:tr w:rsidR="003405B9" w14:paraId="148140DE" w14:textId="77777777" w:rsidTr="008F640E">
        <w:tc>
          <w:tcPr>
            <w:tcW w:w="1790" w:type="dxa"/>
            <w:gridSpan w:val="2"/>
            <w:vMerge w:val="restart"/>
          </w:tcPr>
          <w:p w14:paraId="10806E1B" w14:textId="5819A168" w:rsidR="003405B9" w:rsidRDefault="003405B9">
            <w:r>
              <w:t xml:space="preserve">Data/information Management </w:t>
            </w:r>
          </w:p>
        </w:tc>
        <w:tc>
          <w:tcPr>
            <w:tcW w:w="3528" w:type="dxa"/>
          </w:tcPr>
          <w:p w14:paraId="04DC89C4" w14:textId="77777777" w:rsidR="003405B9" w:rsidRDefault="003405B9" w:rsidP="00CA5748">
            <w:r>
              <w:t>an infrastructure for data storage,</w:t>
            </w:r>
          </w:p>
          <w:p w14:paraId="2A0CBAAE" w14:textId="39505587" w:rsidR="003405B9" w:rsidRDefault="003405B9" w:rsidP="00CA5748">
            <w:r>
              <w:t>protection, and management; and data analysis and reporting.</w:t>
            </w:r>
            <w:r w:rsidR="003800F1">
              <w:t xml:space="preserve"> </w:t>
            </w:r>
          </w:p>
        </w:tc>
        <w:tc>
          <w:tcPr>
            <w:tcW w:w="1455" w:type="dxa"/>
          </w:tcPr>
          <w:p w14:paraId="456279E1" w14:textId="77777777" w:rsidR="003405B9" w:rsidRDefault="003405B9"/>
        </w:tc>
        <w:tc>
          <w:tcPr>
            <w:tcW w:w="1269" w:type="dxa"/>
          </w:tcPr>
          <w:p w14:paraId="6DEA9051" w14:textId="77777777" w:rsidR="003405B9" w:rsidRDefault="003405B9"/>
        </w:tc>
        <w:tc>
          <w:tcPr>
            <w:tcW w:w="1308" w:type="dxa"/>
          </w:tcPr>
          <w:p w14:paraId="5AAF5CA0" w14:textId="77777777" w:rsidR="003405B9" w:rsidRDefault="003405B9"/>
        </w:tc>
      </w:tr>
      <w:tr w:rsidR="003800F1" w14:paraId="294A090E" w14:textId="77777777" w:rsidTr="008F640E">
        <w:tc>
          <w:tcPr>
            <w:tcW w:w="1790" w:type="dxa"/>
            <w:gridSpan w:val="2"/>
            <w:vMerge/>
          </w:tcPr>
          <w:p w14:paraId="6377E15E" w14:textId="77777777" w:rsidR="003800F1" w:rsidRDefault="003800F1"/>
        </w:tc>
        <w:tc>
          <w:tcPr>
            <w:tcW w:w="3528" w:type="dxa"/>
          </w:tcPr>
          <w:p w14:paraId="090DCAD0" w14:textId="0CF5B7EF" w:rsidR="003800F1" w:rsidRDefault="003800F1" w:rsidP="00A87421">
            <w:r>
              <w:t>real-time electronic transmission of data of laboratory and case data.</w:t>
            </w:r>
          </w:p>
        </w:tc>
        <w:tc>
          <w:tcPr>
            <w:tcW w:w="1455" w:type="dxa"/>
          </w:tcPr>
          <w:p w14:paraId="712A441C" w14:textId="77777777" w:rsidR="003800F1" w:rsidRDefault="003800F1"/>
        </w:tc>
        <w:tc>
          <w:tcPr>
            <w:tcW w:w="1269" w:type="dxa"/>
          </w:tcPr>
          <w:p w14:paraId="7D83C900" w14:textId="77777777" w:rsidR="003800F1" w:rsidRDefault="003800F1"/>
        </w:tc>
        <w:tc>
          <w:tcPr>
            <w:tcW w:w="1308" w:type="dxa"/>
          </w:tcPr>
          <w:p w14:paraId="43C2F551" w14:textId="77777777" w:rsidR="003800F1" w:rsidRDefault="003800F1"/>
        </w:tc>
      </w:tr>
      <w:tr w:rsidR="003405B9" w14:paraId="66CAB11D" w14:textId="77777777" w:rsidTr="008F640E">
        <w:tc>
          <w:tcPr>
            <w:tcW w:w="1790" w:type="dxa"/>
            <w:gridSpan w:val="2"/>
            <w:vMerge/>
          </w:tcPr>
          <w:p w14:paraId="1605E0C0" w14:textId="77777777" w:rsidR="003405B9" w:rsidRDefault="003405B9"/>
        </w:tc>
        <w:tc>
          <w:tcPr>
            <w:tcW w:w="3528" w:type="dxa"/>
          </w:tcPr>
          <w:p w14:paraId="7A8BEA15" w14:textId="1ACAD9BE" w:rsidR="003405B9" w:rsidRDefault="003405B9" w:rsidP="00A87421">
            <w:r>
              <w:t xml:space="preserve">the assurance of  </w:t>
            </w:r>
            <w:r w:rsidRPr="003A6386">
              <w:t>confidentiality of sensitive client and protected health information</w:t>
            </w:r>
            <w:r>
              <w:t>.</w:t>
            </w:r>
          </w:p>
        </w:tc>
        <w:tc>
          <w:tcPr>
            <w:tcW w:w="1455" w:type="dxa"/>
          </w:tcPr>
          <w:p w14:paraId="64A01AA4" w14:textId="77777777" w:rsidR="003405B9" w:rsidRDefault="003405B9"/>
        </w:tc>
        <w:tc>
          <w:tcPr>
            <w:tcW w:w="1269" w:type="dxa"/>
          </w:tcPr>
          <w:p w14:paraId="6D2AFEE2" w14:textId="77777777" w:rsidR="003405B9" w:rsidRDefault="003405B9"/>
        </w:tc>
        <w:tc>
          <w:tcPr>
            <w:tcW w:w="1308" w:type="dxa"/>
          </w:tcPr>
          <w:p w14:paraId="2581273A" w14:textId="77777777" w:rsidR="003405B9" w:rsidRDefault="003405B9"/>
        </w:tc>
      </w:tr>
      <w:tr w:rsidR="003405B9" w14:paraId="7275EF49" w14:textId="77777777" w:rsidTr="008F640E">
        <w:tc>
          <w:tcPr>
            <w:tcW w:w="1790" w:type="dxa"/>
            <w:gridSpan w:val="2"/>
            <w:vMerge/>
          </w:tcPr>
          <w:p w14:paraId="41259AC1" w14:textId="77777777" w:rsidR="003405B9" w:rsidRDefault="003405B9"/>
        </w:tc>
        <w:tc>
          <w:tcPr>
            <w:tcW w:w="3528" w:type="dxa"/>
          </w:tcPr>
          <w:p w14:paraId="5AAEC849" w14:textId="6D1B9E42" w:rsidR="003405B9" w:rsidRDefault="003405B9" w:rsidP="00A87421">
            <w:r>
              <w:t xml:space="preserve">monitored timely </w:t>
            </w:r>
            <w:r w:rsidR="00B83DCA">
              <w:t xml:space="preserve">and accurate </w:t>
            </w:r>
            <w:r>
              <w:t>reporting of</w:t>
            </w:r>
            <w:r w:rsidR="00953BAE">
              <w:t xml:space="preserve"> mortality/morbidity</w:t>
            </w:r>
            <w:r>
              <w:t>, lab test results, and investigation results.</w:t>
            </w:r>
          </w:p>
        </w:tc>
        <w:tc>
          <w:tcPr>
            <w:tcW w:w="1455" w:type="dxa"/>
          </w:tcPr>
          <w:p w14:paraId="7E46811E" w14:textId="77777777" w:rsidR="003405B9" w:rsidRDefault="003405B9"/>
        </w:tc>
        <w:tc>
          <w:tcPr>
            <w:tcW w:w="1269" w:type="dxa"/>
          </w:tcPr>
          <w:p w14:paraId="71D44B9D" w14:textId="77777777" w:rsidR="003405B9" w:rsidRDefault="003405B9"/>
        </w:tc>
        <w:tc>
          <w:tcPr>
            <w:tcW w:w="1308" w:type="dxa"/>
          </w:tcPr>
          <w:p w14:paraId="7865BFA4" w14:textId="77777777" w:rsidR="003405B9" w:rsidRDefault="003405B9"/>
        </w:tc>
      </w:tr>
      <w:tr w:rsidR="00101DA7" w14:paraId="36EA7FC7" w14:textId="77777777" w:rsidTr="008F640E">
        <w:tc>
          <w:tcPr>
            <w:tcW w:w="1790" w:type="dxa"/>
            <w:gridSpan w:val="2"/>
          </w:tcPr>
          <w:p w14:paraId="3B7D2221" w14:textId="70A56604" w:rsidR="003675F5" w:rsidRDefault="00CB2C63">
            <w:r>
              <w:t>Human Resources</w:t>
            </w:r>
          </w:p>
        </w:tc>
        <w:tc>
          <w:tcPr>
            <w:tcW w:w="3528" w:type="dxa"/>
          </w:tcPr>
          <w:p w14:paraId="4A931185" w14:textId="69F49733" w:rsidR="003675F5" w:rsidRDefault="001B4D4F">
            <w:r>
              <w:t>t</w:t>
            </w:r>
            <w:r w:rsidR="003405B9">
              <w:t>he rapid hiring and training of contact tracers. If governmental hiring processes are slow, the health department may need to hire staff through a third party (public health institute, academic institution, health care provider, etc.)</w:t>
            </w:r>
            <w:r w:rsidR="00394EAE">
              <w:t xml:space="preserve">. </w:t>
            </w:r>
            <w:r w:rsidR="00394EAE" w:rsidRPr="00394EAE">
              <w:t xml:space="preserve">Consideration </w:t>
            </w:r>
            <w:r w:rsidR="004B500B">
              <w:t>c</w:t>
            </w:r>
            <w:r w:rsidR="00394EAE" w:rsidRPr="00394EAE">
              <w:t xml:space="preserve">ould also be given to recently out of work </w:t>
            </w:r>
            <w:r w:rsidR="00394EAE">
              <w:t>government workers.</w:t>
            </w:r>
          </w:p>
        </w:tc>
        <w:tc>
          <w:tcPr>
            <w:tcW w:w="1455" w:type="dxa"/>
          </w:tcPr>
          <w:p w14:paraId="07140ABD" w14:textId="77777777" w:rsidR="003675F5" w:rsidRDefault="003675F5"/>
        </w:tc>
        <w:tc>
          <w:tcPr>
            <w:tcW w:w="1269" w:type="dxa"/>
          </w:tcPr>
          <w:p w14:paraId="26ECABF6" w14:textId="77777777" w:rsidR="003675F5" w:rsidRDefault="003675F5"/>
        </w:tc>
        <w:tc>
          <w:tcPr>
            <w:tcW w:w="1308" w:type="dxa"/>
          </w:tcPr>
          <w:p w14:paraId="608DB1CA" w14:textId="77777777" w:rsidR="003675F5" w:rsidRDefault="003675F5"/>
        </w:tc>
      </w:tr>
      <w:tr w:rsidR="008F640E" w14:paraId="7A4A785D" w14:textId="77777777" w:rsidTr="008F640E">
        <w:tc>
          <w:tcPr>
            <w:tcW w:w="355" w:type="dxa"/>
            <w:vMerge w:val="restart"/>
            <w:shd w:val="clear" w:color="auto" w:fill="DEEAF6" w:themeFill="accent5" w:themeFillTint="33"/>
          </w:tcPr>
          <w:p w14:paraId="3A848CCF" w14:textId="77777777" w:rsidR="008F640E" w:rsidRDefault="008F640E" w:rsidP="008F640E"/>
        </w:tc>
        <w:tc>
          <w:tcPr>
            <w:tcW w:w="1435" w:type="dxa"/>
          </w:tcPr>
          <w:p w14:paraId="4C11CEDF" w14:textId="3EA46E84" w:rsidR="008F640E" w:rsidRDefault="008F640E" w:rsidP="008F640E">
            <w:r>
              <w:t>Outreach</w:t>
            </w:r>
          </w:p>
        </w:tc>
        <w:tc>
          <w:tcPr>
            <w:tcW w:w="3528" w:type="dxa"/>
          </w:tcPr>
          <w:p w14:paraId="623A30BA" w14:textId="45308403" w:rsidR="008F640E" w:rsidRDefault="008F640E" w:rsidP="008F640E">
            <w:r>
              <w:t>community based outreach for applicants including consideration of languages spoken and ethnic populations in the community.</w:t>
            </w:r>
          </w:p>
        </w:tc>
        <w:tc>
          <w:tcPr>
            <w:tcW w:w="1455" w:type="dxa"/>
          </w:tcPr>
          <w:p w14:paraId="6D6C491A" w14:textId="77777777" w:rsidR="008F640E" w:rsidRDefault="008F640E" w:rsidP="008F640E"/>
        </w:tc>
        <w:tc>
          <w:tcPr>
            <w:tcW w:w="1269" w:type="dxa"/>
          </w:tcPr>
          <w:p w14:paraId="6E3D5C1C" w14:textId="77777777" w:rsidR="008F640E" w:rsidRDefault="008F640E" w:rsidP="008F640E"/>
        </w:tc>
        <w:tc>
          <w:tcPr>
            <w:tcW w:w="1308" w:type="dxa"/>
          </w:tcPr>
          <w:p w14:paraId="43038D24" w14:textId="77777777" w:rsidR="008F640E" w:rsidRDefault="008F640E" w:rsidP="008F640E"/>
        </w:tc>
      </w:tr>
      <w:tr w:rsidR="008F640E" w14:paraId="52626AE1" w14:textId="77777777" w:rsidTr="008F640E">
        <w:tc>
          <w:tcPr>
            <w:tcW w:w="355" w:type="dxa"/>
            <w:vMerge/>
            <w:shd w:val="clear" w:color="auto" w:fill="DEEAF6" w:themeFill="accent5" w:themeFillTint="33"/>
          </w:tcPr>
          <w:p w14:paraId="2997E760" w14:textId="77777777" w:rsidR="008F640E" w:rsidRDefault="008F640E" w:rsidP="008F640E"/>
        </w:tc>
        <w:tc>
          <w:tcPr>
            <w:tcW w:w="1435" w:type="dxa"/>
          </w:tcPr>
          <w:p w14:paraId="6EA802E6" w14:textId="71453A8F" w:rsidR="008F640E" w:rsidRDefault="008F640E" w:rsidP="008F640E">
            <w:r>
              <w:t>On boarding</w:t>
            </w:r>
          </w:p>
        </w:tc>
        <w:tc>
          <w:tcPr>
            <w:tcW w:w="3528" w:type="dxa"/>
          </w:tcPr>
          <w:p w14:paraId="3E8436A1" w14:textId="07E46721" w:rsidR="008F640E" w:rsidRDefault="008F640E" w:rsidP="008F640E">
            <w:r>
              <w:t xml:space="preserve">the rapid onboarding of large numbers of new staff, including for </w:t>
            </w:r>
            <w:r>
              <w:lastRenderedPageBreak/>
              <w:t>example, the work location, technology, and protocols for reporting to supervisors.</w:t>
            </w:r>
          </w:p>
        </w:tc>
        <w:tc>
          <w:tcPr>
            <w:tcW w:w="1455" w:type="dxa"/>
          </w:tcPr>
          <w:p w14:paraId="713088BD" w14:textId="77777777" w:rsidR="008F640E" w:rsidRDefault="008F640E" w:rsidP="008F640E"/>
        </w:tc>
        <w:tc>
          <w:tcPr>
            <w:tcW w:w="1269" w:type="dxa"/>
          </w:tcPr>
          <w:p w14:paraId="6DFABB16" w14:textId="77777777" w:rsidR="008F640E" w:rsidRDefault="008F640E" w:rsidP="008F640E"/>
        </w:tc>
        <w:tc>
          <w:tcPr>
            <w:tcW w:w="1308" w:type="dxa"/>
          </w:tcPr>
          <w:p w14:paraId="46E821B8" w14:textId="77777777" w:rsidR="008F640E" w:rsidRDefault="008F640E" w:rsidP="008F640E"/>
        </w:tc>
      </w:tr>
      <w:tr w:rsidR="008F640E" w14:paraId="07F2F2C7" w14:textId="77777777" w:rsidTr="008F640E">
        <w:tc>
          <w:tcPr>
            <w:tcW w:w="1790" w:type="dxa"/>
            <w:gridSpan w:val="2"/>
          </w:tcPr>
          <w:p w14:paraId="56A65E24" w14:textId="2490D53C" w:rsidR="008F640E" w:rsidRDefault="008F640E" w:rsidP="008F640E">
            <w:r>
              <w:t xml:space="preserve">Procurement  </w:t>
            </w:r>
          </w:p>
        </w:tc>
        <w:tc>
          <w:tcPr>
            <w:tcW w:w="3528" w:type="dxa"/>
          </w:tcPr>
          <w:p w14:paraId="47766D16" w14:textId="33FF3650" w:rsidR="008F640E" w:rsidRDefault="008F640E" w:rsidP="008F640E">
            <w:r>
              <w:t xml:space="preserve">the systems to procure needed materials and equipment, such as field tool kits, home medical monitoring kits, and personal protective equipment for contact tracers and clients. </w:t>
            </w:r>
          </w:p>
        </w:tc>
        <w:tc>
          <w:tcPr>
            <w:tcW w:w="1455" w:type="dxa"/>
          </w:tcPr>
          <w:p w14:paraId="2543AEF3" w14:textId="77777777" w:rsidR="008F640E" w:rsidRDefault="008F640E" w:rsidP="008F640E"/>
        </w:tc>
        <w:tc>
          <w:tcPr>
            <w:tcW w:w="1269" w:type="dxa"/>
          </w:tcPr>
          <w:p w14:paraId="309B5E78" w14:textId="77777777" w:rsidR="008F640E" w:rsidRDefault="008F640E" w:rsidP="008F640E"/>
        </w:tc>
        <w:tc>
          <w:tcPr>
            <w:tcW w:w="1308" w:type="dxa"/>
          </w:tcPr>
          <w:p w14:paraId="5383F24A" w14:textId="77777777" w:rsidR="008F640E" w:rsidRDefault="008F640E" w:rsidP="008F640E"/>
        </w:tc>
      </w:tr>
      <w:tr w:rsidR="008F640E" w14:paraId="72FF2554" w14:textId="77777777" w:rsidTr="008F640E">
        <w:tc>
          <w:tcPr>
            <w:tcW w:w="1790" w:type="dxa"/>
            <w:gridSpan w:val="2"/>
          </w:tcPr>
          <w:p w14:paraId="2ECCC013" w14:textId="7732A783" w:rsidR="008F640E" w:rsidRDefault="008F640E" w:rsidP="008F640E">
            <w:r>
              <w:t>Financial Management</w:t>
            </w:r>
          </w:p>
        </w:tc>
        <w:tc>
          <w:tcPr>
            <w:tcW w:w="3528" w:type="dxa"/>
          </w:tcPr>
          <w:p w14:paraId="7FF17210" w14:textId="08A3B342" w:rsidR="008F640E" w:rsidRDefault="008F640E" w:rsidP="008F640E">
            <w:r>
              <w:t>system to track the use of special COVID-19 support funding as well as to forecast the need for continuing/increased funding.</w:t>
            </w:r>
          </w:p>
        </w:tc>
        <w:tc>
          <w:tcPr>
            <w:tcW w:w="1455" w:type="dxa"/>
          </w:tcPr>
          <w:p w14:paraId="6CB1D5DB" w14:textId="77777777" w:rsidR="008F640E" w:rsidRDefault="008F640E" w:rsidP="008F640E"/>
        </w:tc>
        <w:tc>
          <w:tcPr>
            <w:tcW w:w="1269" w:type="dxa"/>
          </w:tcPr>
          <w:p w14:paraId="7D66311C" w14:textId="77777777" w:rsidR="008F640E" w:rsidRDefault="008F640E" w:rsidP="008F640E"/>
        </w:tc>
        <w:tc>
          <w:tcPr>
            <w:tcW w:w="1308" w:type="dxa"/>
          </w:tcPr>
          <w:p w14:paraId="5476F76E" w14:textId="77777777" w:rsidR="008F640E" w:rsidRDefault="008F640E" w:rsidP="008F640E"/>
        </w:tc>
      </w:tr>
      <w:tr w:rsidR="008F640E" w14:paraId="404CDE95" w14:textId="77777777" w:rsidTr="008F640E">
        <w:tc>
          <w:tcPr>
            <w:tcW w:w="1790" w:type="dxa"/>
            <w:gridSpan w:val="2"/>
          </w:tcPr>
          <w:p w14:paraId="22E8D796" w14:textId="224D4059" w:rsidR="008F640E" w:rsidRDefault="008F640E" w:rsidP="008F640E">
            <w:r w:rsidRPr="007415A4">
              <w:t>Epidemiological</w:t>
            </w:r>
            <w:r>
              <w:t xml:space="preserve"> Services</w:t>
            </w:r>
          </w:p>
        </w:tc>
        <w:tc>
          <w:tcPr>
            <w:tcW w:w="3528" w:type="dxa"/>
          </w:tcPr>
          <w:p w14:paraId="59A352C8" w14:textId="15F571B3" w:rsidR="008F640E" w:rsidRDefault="008F640E" w:rsidP="008F640E">
            <w:r>
              <w:t>access to epidemiological resources capable of providing rapid detection, investigation,  and containment/mitigation of public health problems.</w:t>
            </w:r>
          </w:p>
        </w:tc>
        <w:tc>
          <w:tcPr>
            <w:tcW w:w="1455" w:type="dxa"/>
          </w:tcPr>
          <w:p w14:paraId="69ABB2D2" w14:textId="77777777" w:rsidR="008F640E" w:rsidRDefault="008F640E" w:rsidP="008F640E"/>
        </w:tc>
        <w:tc>
          <w:tcPr>
            <w:tcW w:w="1269" w:type="dxa"/>
          </w:tcPr>
          <w:p w14:paraId="7AF81F44" w14:textId="77777777" w:rsidR="008F640E" w:rsidRDefault="008F640E" w:rsidP="008F640E"/>
        </w:tc>
        <w:tc>
          <w:tcPr>
            <w:tcW w:w="1308" w:type="dxa"/>
          </w:tcPr>
          <w:p w14:paraId="1BD47302" w14:textId="77777777" w:rsidR="008F640E" w:rsidRDefault="008F640E" w:rsidP="008F640E"/>
        </w:tc>
      </w:tr>
      <w:tr w:rsidR="008F640E" w14:paraId="5C12248C" w14:textId="77777777" w:rsidTr="008F640E">
        <w:tc>
          <w:tcPr>
            <w:tcW w:w="1790" w:type="dxa"/>
            <w:gridSpan w:val="2"/>
            <w:vMerge w:val="restart"/>
          </w:tcPr>
          <w:p w14:paraId="79EF89C0" w14:textId="0C9922CC" w:rsidR="008F640E" w:rsidRDefault="008F640E" w:rsidP="008F640E">
            <w:r>
              <w:t>Laboratory Services</w:t>
            </w:r>
          </w:p>
        </w:tc>
        <w:tc>
          <w:tcPr>
            <w:tcW w:w="3528" w:type="dxa"/>
          </w:tcPr>
          <w:p w14:paraId="7584790B" w14:textId="6F4A4968" w:rsidR="008F640E" w:rsidRDefault="008F640E" w:rsidP="008F640E">
            <w:r>
              <w:t>assurance of laboratory certifications and quality.</w:t>
            </w:r>
          </w:p>
        </w:tc>
        <w:tc>
          <w:tcPr>
            <w:tcW w:w="1455" w:type="dxa"/>
          </w:tcPr>
          <w:p w14:paraId="76248338" w14:textId="77777777" w:rsidR="008F640E" w:rsidRDefault="008F640E" w:rsidP="008F640E"/>
        </w:tc>
        <w:tc>
          <w:tcPr>
            <w:tcW w:w="1269" w:type="dxa"/>
          </w:tcPr>
          <w:p w14:paraId="71CAEEA8" w14:textId="77777777" w:rsidR="008F640E" w:rsidRDefault="008F640E" w:rsidP="008F640E"/>
        </w:tc>
        <w:tc>
          <w:tcPr>
            <w:tcW w:w="1308" w:type="dxa"/>
          </w:tcPr>
          <w:p w14:paraId="113291DA" w14:textId="77777777" w:rsidR="008F640E" w:rsidRDefault="008F640E" w:rsidP="008F640E"/>
        </w:tc>
      </w:tr>
      <w:tr w:rsidR="008F640E" w14:paraId="744BDCA7" w14:textId="77777777" w:rsidTr="008F640E">
        <w:tc>
          <w:tcPr>
            <w:tcW w:w="1790" w:type="dxa"/>
            <w:gridSpan w:val="2"/>
            <w:vMerge/>
          </w:tcPr>
          <w:p w14:paraId="13587558" w14:textId="77777777" w:rsidR="008F640E" w:rsidRDefault="008F640E" w:rsidP="008F640E"/>
        </w:tc>
        <w:tc>
          <w:tcPr>
            <w:tcW w:w="3528" w:type="dxa"/>
          </w:tcPr>
          <w:p w14:paraId="439A6498" w14:textId="25DB7451" w:rsidR="008F640E" w:rsidRDefault="008F640E" w:rsidP="008F640E">
            <w:r>
              <w:t>agreements concerning the rapid sharing of test results.</w:t>
            </w:r>
          </w:p>
        </w:tc>
        <w:tc>
          <w:tcPr>
            <w:tcW w:w="1455" w:type="dxa"/>
          </w:tcPr>
          <w:p w14:paraId="1511FAD5" w14:textId="77777777" w:rsidR="008F640E" w:rsidRDefault="008F640E" w:rsidP="008F640E"/>
        </w:tc>
        <w:tc>
          <w:tcPr>
            <w:tcW w:w="1269" w:type="dxa"/>
          </w:tcPr>
          <w:p w14:paraId="6DD06829" w14:textId="77777777" w:rsidR="008F640E" w:rsidRDefault="008F640E" w:rsidP="008F640E"/>
        </w:tc>
        <w:tc>
          <w:tcPr>
            <w:tcW w:w="1308" w:type="dxa"/>
          </w:tcPr>
          <w:p w14:paraId="6F38E23B" w14:textId="77777777" w:rsidR="008F640E" w:rsidRDefault="008F640E" w:rsidP="008F640E"/>
        </w:tc>
      </w:tr>
      <w:tr w:rsidR="008F640E" w14:paraId="48067367" w14:textId="77777777" w:rsidTr="008F640E">
        <w:tc>
          <w:tcPr>
            <w:tcW w:w="1790" w:type="dxa"/>
            <w:gridSpan w:val="2"/>
            <w:vMerge/>
          </w:tcPr>
          <w:p w14:paraId="26214A8A" w14:textId="77777777" w:rsidR="008F640E" w:rsidRDefault="008F640E" w:rsidP="008F640E"/>
        </w:tc>
        <w:tc>
          <w:tcPr>
            <w:tcW w:w="3528" w:type="dxa"/>
          </w:tcPr>
          <w:p w14:paraId="66356327" w14:textId="6C0EA604" w:rsidR="008F640E" w:rsidRDefault="008F640E" w:rsidP="008F640E">
            <w:r>
              <w:t>the education of health care providers and laboratories to ensure reporting compliance.</w:t>
            </w:r>
          </w:p>
        </w:tc>
        <w:tc>
          <w:tcPr>
            <w:tcW w:w="1455" w:type="dxa"/>
          </w:tcPr>
          <w:p w14:paraId="2929B2E6" w14:textId="77777777" w:rsidR="008F640E" w:rsidRDefault="008F640E" w:rsidP="008F640E"/>
        </w:tc>
        <w:tc>
          <w:tcPr>
            <w:tcW w:w="1269" w:type="dxa"/>
          </w:tcPr>
          <w:p w14:paraId="3FC0F254" w14:textId="77777777" w:rsidR="008F640E" w:rsidRDefault="008F640E" w:rsidP="008F640E"/>
        </w:tc>
        <w:tc>
          <w:tcPr>
            <w:tcW w:w="1308" w:type="dxa"/>
          </w:tcPr>
          <w:p w14:paraId="681D5302" w14:textId="77777777" w:rsidR="008F640E" w:rsidRDefault="008F640E" w:rsidP="008F640E"/>
        </w:tc>
      </w:tr>
      <w:tr w:rsidR="008F640E" w14:paraId="6D6AF9C8" w14:textId="77777777" w:rsidTr="008F640E">
        <w:trPr>
          <w:trHeight w:val="323"/>
        </w:trPr>
        <w:tc>
          <w:tcPr>
            <w:tcW w:w="1790" w:type="dxa"/>
            <w:gridSpan w:val="2"/>
          </w:tcPr>
          <w:p w14:paraId="7A83C0BE" w14:textId="56F31B5F" w:rsidR="008F640E" w:rsidRDefault="008F640E" w:rsidP="008F640E">
            <w:r>
              <w:t>Links with Testing Sites</w:t>
            </w:r>
          </w:p>
        </w:tc>
        <w:tc>
          <w:tcPr>
            <w:tcW w:w="3528" w:type="dxa"/>
          </w:tcPr>
          <w:p w14:paraId="2B862C57" w14:textId="2CF30E82" w:rsidR="008F640E" w:rsidRDefault="008F640E" w:rsidP="008F640E">
            <w:r>
              <w:t>referrals of clients for tests and processes for receiving results.</w:t>
            </w:r>
          </w:p>
        </w:tc>
        <w:tc>
          <w:tcPr>
            <w:tcW w:w="1455" w:type="dxa"/>
          </w:tcPr>
          <w:p w14:paraId="555FCE0F" w14:textId="77777777" w:rsidR="008F640E" w:rsidRDefault="008F640E" w:rsidP="008F640E"/>
        </w:tc>
        <w:tc>
          <w:tcPr>
            <w:tcW w:w="1269" w:type="dxa"/>
          </w:tcPr>
          <w:p w14:paraId="57710817" w14:textId="77777777" w:rsidR="008F640E" w:rsidRDefault="008F640E" w:rsidP="008F640E"/>
        </w:tc>
        <w:tc>
          <w:tcPr>
            <w:tcW w:w="1308" w:type="dxa"/>
          </w:tcPr>
          <w:p w14:paraId="265030C0" w14:textId="77777777" w:rsidR="008F640E" w:rsidRDefault="008F640E" w:rsidP="008F640E"/>
        </w:tc>
      </w:tr>
      <w:tr w:rsidR="008F640E" w14:paraId="0AF74DBC" w14:textId="77777777" w:rsidTr="008F640E">
        <w:tc>
          <w:tcPr>
            <w:tcW w:w="1790" w:type="dxa"/>
            <w:gridSpan w:val="2"/>
          </w:tcPr>
          <w:p w14:paraId="78083AF9" w14:textId="60F24001" w:rsidR="008F640E" w:rsidRDefault="008F640E" w:rsidP="008F640E">
            <w:r>
              <w:t>Public Health Communication</w:t>
            </w:r>
          </w:p>
        </w:tc>
        <w:tc>
          <w:tcPr>
            <w:tcW w:w="3528" w:type="dxa"/>
          </w:tcPr>
          <w:p w14:paraId="6ECB5060" w14:textId="39EB95F3" w:rsidR="008F640E" w:rsidRDefault="008F640E" w:rsidP="008F640E">
            <w:r>
              <w:t xml:space="preserve">protocols for communications and being the </w:t>
            </w:r>
            <w:r w:rsidRPr="003675F5">
              <w:t xml:space="preserve">local resource for public health information </w:t>
            </w:r>
            <w:r>
              <w:t xml:space="preserve">and </w:t>
            </w:r>
            <w:r w:rsidRPr="003675F5">
              <w:t xml:space="preserve"> </w:t>
            </w:r>
            <w:r>
              <w:t xml:space="preserve">health protection </w:t>
            </w:r>
            <w:r w:rsidRPr="003675F5">
              <w:t xml:space="preserve">recommendations to </w:t>
            </w:r>
            <w:r>
              <w:t xml:space="preserve">various audiences in the </w:t>
            </w:r>
            <w:r w:rsidRPr="003675F5">
              <w:t>community (</w:t>
            </w:r>
            <w:r>
              <w:t xml:space="preserve">for example, residents, schools, places of worship, health care </w:t>
            </w:r>
            <w:r w:rsidRPr="003675F5">
              <w:t>providers correctional</w:t>
            </w:r>
            <w:r>
              <w:t xml:space="preserve"> facilities, etc.</w:t>
            </w:r>
            <w:r w:rsidRPr="003675F5">
              <w:t>).</w:t>
            </w:r>
            <w:r>
              <w:t xml:space="preserve"> Provide accessible, accurate, current, actionable information. Consider hard to reach populations including cultural differences, non-English speaking populations, individuals with low literacy and low medical literacy, and those with physical disabilities. Communication protocols should include approaches </w:t>
            </w:r>
            <w:r>
              <w:lastRenderedPageBreak/>
              <w:t>to address misconceptions and  misinformation.</w:t>
            </w:r>
          </w:p>
        </w:tc>
        <w:tc>
          <w:tcPr>
            <w:tcW w:w="1455" w:type="dxa"/>
          </w:tcPr>
          <w:p w14:paraId="08D75EB3" w14:textId="77777777" w:rsidR="008F640E" w:rsidRDefault="008F640E" w:rsidP="008F640E"/>
        </w:tc>
        <w:tc>
          <w:tcPr>
            <w:tcW w:w="1269" w:type="dxa"/>
          </w:tcPr>
          <w:p w14:paraId="4958BB30" w14:textId="77777777" w:rsidR="008F640E" w:rsidRDefault="008F640E" w:rsidP="008F640E"/>
        </w:tc>
        <w:tc>
          <w:tcPr>
            <w:tcW w:w="1308" w:type="dxa"/>
          </w:tcPr>
          <w:p w14:paraId="6C12092F" w14:textId="77777777" w:rsidR="008F640E" w:rsidRDefault="008F640E" w:rsidP="008F640E"/>
        </w:tc>
      </w:tr>
      <w:tr w:rsidR="008F640E" w14:paraId="61C1C8FF" w14:textId="77777777" w:rsidTr="008F640E">
        <w:tc>
          <w:tcPr>
            <w:tcW w:w="1790" w:type="dxa"/>
            <w:gridSpan w:val="2"/>
          </w:tcPr>
          <w:p w14:paraId="5FC46ACC" w14:textId="03EB25F9" w:rsidR="008F640E" w:rsidRDefault="008F640E" w:rsidP="008F640E">
            <w:r>
              <w:t>Performance Management and Quality Improvement</w:t>
            </w:r>
          </w:p>
        </w:tc>
        <w:tc>
          <w:tcPr>
            <w:tcW w:w="3528" w:type="dxa"/>
          </w:tcPr>
          <w:p w14:paraId="0D41F093" w14:textId="124B74BB" w:rsidR="008F640E" w:rsidRDefault="008F640E" w:rsidP="008F640E">
            <w:r>
              <w:t>the tracking and management of performance measures and the use of quality improvement processes, as</w:t>
            </w:r>
            <w:r w:rsidRPr="003675F5">
              <w:t xml:space="preserve"> </w:t>
            </w:r>
            <w:r>
              <w:t xml:space="preserve">necessary. Develop </w:t>
            </w:r>
            <w:r w:rsidRPr="00DD60A2">
              <w:t>a set of metrics</w:t>
            </w:r>
            <w:r>
              <w:t xml:space="preserve">, for example, </w:t>
            </w:r>
            <w:r w:rsidRPr="00DD60A2">
              <w:t>timelines</w:t>
            </w:r>
            <w:r>
              <w:t xml:space="preserve"> met</w:t>
            </w:r>
            <w:r w:rsidRPr="00DD60A2">
              <w:t>, number of contacts identified, contacts contacted, etc</w:t>
            </w:r>
            <w:r>
              <w:t>.</w:t>
            </w:r>
          </w:p>
        </w:tc>
        <w:tc>
          <w:tcPr>
            <w:tcW w:w="1455" w:type="dxa"/>
          </w:tcPr>
          <w:p w14:paraId="35B6F06C" w14:textId="77777777" w:rsidR="008F640E" w:rsidRDefault="008F640E" w:rsidP="008F640E"/>
        </w:tc>
        <w:tc>
          <w:tcPr>
            <w:tcW w:w="1269" w:type="dxa"/>
          </w:tcPr>
          <w:p w14:paraId="463241D7" w14:textId="77777777" w:rsidR="008F640E" w:rsidRDefault="008F640E" w:rsidP="008F640E"/>
        </w:tc>
        <w:tc>
          <w:tcPr>
            <w:tcW w:w="1308" w:type="dxa"/>
          </w:tcPr>
          <w:p w14:paraId="1114B072" w14:textId="77777777" w:rsidR="008F640E" w:rsidRDefault="008F640E" w:rsidP="008F640E"/>
        </w:tc>
      </w:tr>
      <w:tr w:rsidR="008F640E" w14:paraId="4DAD7290" w14:textId="77777777" w:rsidTr="008F640E">
        <w:tc>
          <w:tcPr>
            <w:tcW w:w="1790" w:type="dxa"/>
            <w:gridSpan w:val="2"/>
            <w:vMerge w:val="restart"/>
          </w:tcPr>
          <w:p w14:paraId="3ADE7776" w14:textId="6A7389B0" w:rsidR="008F640E" w:rsidRDefault="008F640E" w:rsidP="008F640E">
            <w:r>
              <w:t>Collaborations</w:t>
            </w:r>
          </w:p>
        </w:tc>
        <w:tc>
          <w:tcPr>
            <w:tcW w:w="3528" w:type="dxa"/>
          </w:tcPr>
          <w:p w14:paraId="0399C283" w14:textId="58525834" w:rsidR="008F640E" w:rsidRDefault="008F640E" w:rsidP="008F640E">
            <w:r>
              <w:t>the c</w:t>
            </w:r>
            <w:r w:rsidRPr="00142E0B">
              <w:t>oordinat</w:t>
            </w:r>
            <w:r>
              <w:t>ion</w:t>
            </w:r>
            <w:r w:rsidRPr="00142E0B">
              <w:t xml:space="preserve"> with various government and public health officials to perform required tasks (</w:t>
            </w:r>
            <w:r>
              <w:t>for example,</w:t>
            </w:r>
            <w:r w:rsidRPr="00142E0B">
              <w:t xml:space="preserve"> data collection, </w:t>
            </w:r>
            <w:r>
              <w:t xml:space="preserve">vital records, </w:t>
            </w:r>
            <w:r w:rsidRPr="00142E0B">
              <w:t>data analysis, contact elicitation, quarantine and isolation enforcement, rapid needs assessment, samples and specimens for testing collection, epidemiolog</w:t>
            </w:r>
            <w:r>
              <w:t xml:space="preserve">y </w:t>
            </w:r>
            <w:r w:rsidRPr="00142E0B">
              <w:t>consultation, community outreach, awareness promotion)</w:t>
            </w:r>
            <w:r w:rsidR="006D5C7C">
              <w:t>.</w:t>
            </w:r>
          </w:p>
        </w:tc>
        <w:tc>
          <w:tcPr>
            <w:tcW w:w="1455" w:type="dxa"/>
          </w:tcPr>
          <w:p w14:paraId="3CC7CA7F" w14:textId="77777777" w:rsidR="008F640E" w:rsidRDefault="008F640E" w:rsidP="008F640E"/>
        </w:tc>
        <w:tc>
          <w:tcPr>
            <w:tcW w:w="1269" w:type="dxa"/>
          </w:tcPr>
          <w:p w14:paraId="57B038BC" w14:textId="77777777" w:rsidR="008F640E" w:rsidRDefault="008F640E" w:rsidP="008F640E"/>
        </w:tc>
        <w:tc>
          <w:tcPr>
            <w:tcW w:w="1308" w:type="dxa"/>
          </w:tcPr>
          <w:p w14:paraId="1E7D72E5" w14:textId="77777777" w:rsidR="008F640E" w:rsidRDefault="008F640E" w:rsidP="008F640E"/>
        </w:tc>
      </w:tr>
      <w:tr w:rsidR="008F640E" w14:paraId="3DAC7F23" w14:textId="77777777" w:rsidTr="008F640E">
        <w:tc>
          <w:tcPr>
            <w:tcW w:w="1790" w:type="dxa"/>
            <w:gridSpan w:val="2"/>
            <w:vMerge/>
          </w:tcPr>
          <w:p w14:paraId="6EBBCEF9" w14:textId="77777777" w:rsidR="008F640E" w:rsidRDefault="008F640E" w:rsidP="008F640E"/>
        </w:tc>
        <w:tc>
          <w:tcPr>
            <w:tcW w:w="3528" w:type="dxa"/>
          </w:tcPr>
          <w:p w14:paraId="36002683" w14:textId="0603E12A" w:rsidR="008F640E" w:rsidRDefault="008F640E" w:rsidP="008F640E">
            <w:r>
              <w:t>cross-jurisdictional agreements for collaborations on investigations, data sharing, and staff sharing.</w:t>
            </w:r>
          </w:p>
        </w:tc>
        <w:tc>
          <w:tcPr>
            <w:tcW w:w="1455" w:type="dxa"/>
          </w:tcPr>
          <w:p w14:paraId="3ED23366" w14:textId="77777777" w:rsidR="008F640E" w:rsidRDefault="008F640E" w:rsidP="008F640E"/>
        </w:tc>
        <w:tc>
          <w:tcPr>
            <w:tcW w:w="1269" w:type="dxa"/>
          </w:tcPr>
          <w:p w14:paraId="210AB8A8" w14:textId="77777777" w:rsidR="008F640E" w:rsidRDefault="008F640E" w:rsidP="008F640E"/>
        </w:tc>
        <w:tc>
          <w:tcPr>
            <w:tcW w:w="1308" w:type="dxa"/>
          </w:tcPr>
          <w:p w14:paraId="335ACE63" w14:textId="77777777" w:rsidR="008F640E" w:rsidRDefault="008F640E" w:rsidP="008F640E"/>
        </w:tc>
      </w:tr>
    </w:tbl>
    <w:p w14:paraId="13D3FE04" w14:textId="77777777" w:rsidR="00DD60A2" w:rsidRDefault="00DD60A2"/>
    <w:p w14:paraId="01D1DD45" w14:textId="77777777" w:rsidR="00DD60A2" w:rsidRDefault="00DD60A2"/>
    <w:sectPr w:rsidR="00DD60A2" w:rsidSect="0076543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6FD4" w14:textId="77777777" w:rsidR="00C87BB6" w:rsidRDefault="00C87BB6" w:rsidP="00765439">
      <w:pPr>
        <w:spacing w:after="0" w:line="240" w:lineRule="auto"/>
      </w:pPr>
      <w:r>
        <w:separator/>
      </w:r>
    </w:p>
  </w:endnote>
  <w:endnote w:type="continuationSeparator" w:id="0">
    <w:p w14:paraId="04CE3979" w14:textId="77777777" w:rsidR="00C87BB6" w:rsidRDefault="00C87BB6" w:rsidP="0076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230360"/>
      <w:docPartObj>
        <w:docPartGallery w:val="Page Numbers (Bottom of Page)"/>
        <w:docPartUnique/>
      </w:docPartObj>
    </w:sdtPr>
    <w:sdtEndPr/>
    <w:sdtContent>
      <w:sdt>
        <w:sdtPr>
          <w:id w:val="-1769616900"/>
          <w:docPartObj>
            <w:docPartGallery w:val="Page Numbers (Top of Page)"/>
            <w:docPartUnique/>
          </w:docPartObj>
        </w:sdtPr>
        <w:sdtEndPr/>
        <w:sdtContent>
          <w:p w14:paraId="35A06809" w14:textId="076F9C26" w:rsidR="00C87BB6" w:rsidRDefault="00452A9D" w:rsidP="00452A9D">
            <w:pPr>
              <w:pStyle w:val="Footer"/>
            </w:pPr>
            <w:r>
              <w:t>May 1. 2020</w:t>
            </w:r>
            <w:r>
              <w:tab/>
            </w:r>
            <w:r w:rsidR="003C49F1">
              <w:t>Public Health Accreditation Board</w:t>
            </w:r>
            <w:r>
              <w:tab/>
            </w:r>
            <w:r w:rsidR="00C87BB6">
              <w:t xml:space="preserve">Page </w:t>
            </w:r>
            <w:r w:rsidR="00C87BB6">
              <w:rPr>
                <w:b/>
                <w:bCs/>
                <w:sz w:val="24"/>
                <w:szCs w:val="24"/>
              </w:rPr>
              <w:fldChar w:fldCharType="begin"/>
            </w:r>
            <w:r w:rsidR="00C87BB6">
              <w:rPr>
                <w:b/>
                <w:bCs/>
              </w:rPr>
              <w:instrText xml:space="preserve"> PAGE </w:instrText>
            </w:r>
            <w:r w:rsidR="00C87BB6">
              <w:rPr>
                <w:b/>
                <w:bCs/>
                <w:sz w:val="24"/>
                <w:szCs w:val="24"/>
              </w:rPr>
              <w:fldChar w:fldCharType="separate"/>
            </w:r>
            <w:r w:rsidR="00C87BB6">
              <w:rPr>
                <w:b/>
                <w:bCs/>
                <w:noProof/>
              </w:rPr>
              <w:t>2</w:t>
            </w:r>
            <w:r w:rsidR="00C87BB6">
              <w:rPr>
                <w:b/>
                <w:bCs/>
                <w:sz w:val="24"/>
                <w:szCs w:val="24"/>
              </w:rPr>
              <w:fldChar w:fldCharType="end"/>
            </w:r>
            <w:r w:rsidR="00C87BB6">
              <w:t xml:space="preserve"> of </w:t>
            </w:r>
            <w:r w:rsidR="00C87BB6">
              <w:rPr>
                <w:b/>
                <w:bCs/>
                <w:sz w:val="24"/>
                <w:szCs w:val="24"/>
              </w:rPr>
              <w:fldChar w:fldCharType="begin"/>
            </w:r>
            <w:r w:rsidR="00C87BB6">
              <w:rPr>
                <w:b/>
                <w:bCs/>
              </w:rPr>
              <w:instrText xml:space="preserve"> NUMPAGES  </w:instrText>
            </w:r>
            <w:r w:rsidR="00C87BB6">
              <w:rPr>
                <w:b/>
                <w:bCs/>
                <w:sz w:val="24"/>
                <w:szCs w:val="24"/>
              </w:rPr>
              <w:fldChar w:fldCharType="separate"/>
            </w:r>
            <w:r w:rsidR="00C87BB6">
              <w:rPr>
                <w:b/>
                <w:bCs/>
                <w:noProof/>
              </w:rPr>
              <w:t>2</w:t>
            </w:r>
            <w:r w:rsidR="00C87BB6">
              <w:rPr>
                <w:b/>
                <w:bCs/>
                <w:sz w:val="24"/>
                <w:szCs w:val="24"/>
              </w:rPr>
              <w:fldChar w:fldCharType="end"/>
            </w:r>
          </w:p>
        </w:sdtContent>
      </w:sdt>
    </w:sdtContent>
  </w:sdt>
  <w:p w14:paraId="192B72E4" w14:textId="77777777" w:rsidR="00C87BB6" w:rsidRDefault="00C8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3C8B" w14:textId="77777777" w:rsidR="00C87BB6" w:rsidRDefault="00C87BB6" w:rsidP="00765439">
      <w:pPr>
        <w:spacing w:after="0" w:line="240" w:lineRule="auto"/>
      </w:pPr>
      <w:r>
        <w:separator/>
      </w:r>
    </w:p>
  </w:footnote>
  <w:footnote w:type="continuationSeparator" w:id="0">
    <w:p w14:paraId="184FE504" w14:textId="77777777" w:rsidR="00C87BB6" w:rsidRDefault="00C87BB6" w:rsidP="0076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A86D" w14:textId="53DC67DF" w:rsidR="00C87BB6" w:rsidRDefault="00C87BB6" w:rsidP="00765439">
    <w:pPr>
      <w:pStyle w:val="Header"/>
      <w:jc w:val="center"/>
    </w:pPr>
    <w:r>
      <w:rPr>
        <w:noProof/>
      </w:rPr>
      <w:drawing>
        <wp:inline distT="0" distB="0" distL="0" distR="0" wp14:anchorId="2D163EBB" wp14:editId="70DFC6D9">
          <wp:extent cx="1078865" cy="11887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1887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39"/>
    <w:rsid w:val="00026F60"/>
    <w:rsid w:val="000435C0"/>
    <w:rsid w:val="00043AF7"/>
    <w:rsid w:val="000554B4"/>
    <w:rsid w:val="000F3188"/>
    <w:rsid w:val="00101DA7"/>
    <w:rsid w:val="00142E0B"/>
    <w:rsid w:val="0017048B"/>
    <w:rsid w:val="001B0D6E"/>
    <w:rsid w:val="001B4D4F"/>
    <w:rsid w:val="001D18EE"/>
    <w:rsid w:val="001D713D"/>
    <w:rsid w:val="001F5699"/>
    <w:rsid w:val="00262546"/>
    <w:rsid w:val="0033671C"/>
    <w:rsid w:val="003405B9"/>
    <w:rsid w:val="003675F5"/>
    <w:rsid w:val="003800F1"/>
    <w:rsid w:val="00394EAE"/>
    <w:rsid w:val="003975BF"/>
    <w:rsid w:val="003A6386"/>
    <w:rsid w:val="003C49F1"/>
    <w:rsid w:val="003E32D6"/>
    <w:rsid w:val="004025A3"/>
    <w:rsid w:val="0043569F"/>
    <w:rsid w:val="00440702"/>
    <w:rsid w:val="004438D2"/>
    <w:rsid w:val="00452A9D"/>
    <w:rsid w:val="00494FA1"/>
    <w:rsid w:val="004B500B"/>
    <w:rsid w:val="004D12DE"/>
    <w:rsid w:val="004E5AA5"/>
    <w:rsid w:val="004E627C"/>
    <w:rsid w:val="00552C00"/>
    <w:rsid w:val="005830E9"/>
    <w:rsid w:val="005A4D73"/>
    <w:rsid w:val="006A18DF"/>
    <w:rsid w:val="006C144E"/>
    <w:rsid w:val="006D5C7C"/>
    <w:rsid w:val="00726FAD"/>
    <w:rsid w:val="007356CA"/>
    <w:rsid w:val="007415A4"/>
    <w:rsid w:val="00765439"/>
    <w:rsid w:val="007771C0"/>
    <w:rsid w:val="00783F41"/>
    <w:rsid w:val="007A092B"/>
    <w:rsid w:val="008051CE"/>
    <w:rsid w:val="00870D28"/>
    <w:rsid w:val="0088755E"/>
    <w:rsid w:val="008D7387"/>
    <w:rsid w:val="008F640E"/>
    <w:rsid w:val="009055EC"/>
    <w:rsid w:val="00925C1D"/>
    <w:rsid w:val="00931AFE"/>
    <w:rsid w:val="00953BAE"/>
    <w:rsid w:val="00955632"/>
    <w:rsid w:val="00973BAF"/>
    <w:rsid w:val="009D515D"/>
    <w:rsid w:val="009D5E82"/>
    <w:rsid w:val="00A038E1"/>
    <w:rsid w:val="00A20C87"/>
    <w:rsid w:val="00A364E0"/>
    <w:rsid w:val="00A87421"/>
    <w:rsid w:val="00AA5BB4"/>
    <w:rsid w:val="00B16F7F"/>
    <w:rsid w:val="00B60F78"/>
    <w:rsid w:val="00B83DCA"/>
    <w:rsid w:val="00B84325"/>
    <w:rsid w:val="00B94FC1"/>
    <w:rsid w:val="00B95C9C"/>
    <w:rsid w:val="00BB3FAC"/>
    <w:rsid w:val="00BC1266"/>
    <w:rsid w:val="00BC3F88"/>
    <w:rsid w:val="00BE7803"/>
    <w:rsid w:val="00BF218F"/>
    <w:rsid w:val="00BF406F"/>
    <w:rsid w:val="00C0683C"/>
    <w:rsid w:val="00C20C84"/>
    <w:rsid w:val="00C42571"/>
    <w:rsid w:val="00C87BB6"/>
    <w:rsid w:val="00CA002B"/>
    <w:rsid w:val="00CA5748"/>
    <w:rsid w:val="00CB2C63"/>
    <w:rsid w:val="00CD6700"/>
    <w:rsid w:val="00DB3C93"/>
    <w:rsid w:val="00DC4A12"/>
    <w:rsid w:val="00DD60A2"/>
    <w:rsid w:val="00DD7C98"/>
    <w:rsid w:val="00DE699C"/>
    <w:rsid w:val="00DF1989"/>
    <w:rsid w:val="00E527E3"/>
    <w:rsid w:val="00EE7123"/>
    <w:rsid w:val="00F30D0C"/>
    <w:rsid w:val="00F37A8C"/>
    <w:rsid w:val="00F57227"/>
    <w:rsid w:val="00F6121B"/>
    <w:rsid w:val="00F92359"/>
    <w:rsid w:val="00FB47FA"/>
    <w:rsid w:val="00FC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F7232"/>
  <w15:chartTrackingRefBased/>
  <w15:docId w15:val="{E8423360-E704-433D-88F0-BAECF858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39"/>
  </w:style>
  <w:style w:type="paragraph" w:styleId="Footer">
    <w:name w:val="footer"/>
    <w:basedOn w:val="Normal"/>
    <w:link w:val="FooterChar"/>
    <w:uiPriority w:val="99"/>
    <w:unhideWhenUsed/>
    <w:rsid w:val="0076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39"/>
  </w:style>
  <w:style w:type="paragraph" w:styleId="BalloonText">
    <w:name w:val="Balloon Text"/>
    <w:basedOn w:val="Normal"/>
    <w:link w:val="BalloonTextChar"/>
    <w:uiPriority w:val="99"/>
    <w:semiHidden/>
    <w:unhideWhenUsed/>
    <w:rsid w:val="00B8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CA"/>
    <w:rPr>
      <w:rFonts w:ascii="Segoe UI" w:hAnsi="Segoe UI" w:cs="Segoe UI"/>
      <w:sz w:val="18"/>
      <w:szCs w:val="18"/>
    </w:rPr>
  </w:style>
  <w:style w:type="character" w:styleId="CommentReference">
    <w:name w:val="annotation reference"/>
    <w:basedOn w:val="DefaultParagraphFont"/>
    <w:uiPriority w:val="99"/>
    <w:semiHidden/>
    <w:unhideWhenUsed/>
    <w:rsid w:val="00394EAE"/>
    <w:rPr>
      <w:sz w:val="16"/>
      <w:szCs w:val="16"/>
    </w:rPr>
  </w:style>
  <w:style w:type="paragraph" w:styleId="CommentText">
    <w:name w:val="annotation text"/>
    <w:basedOn w:val="Normal"/>
    <w:link w:val="CommentTextChar"/>
    <w:uiPriority w:val="99"/>
    <w:semiHidden/>
    <w:unhideWhenUsed/>
    <w:rsid w:val="00394EAE"/>
    <w:pPr>
      <w:spacing w:line="240" w:lineRule="auto"/>
    </w:pPr>
    <w:rPr>
      <w:sz w:val="20"/>
      <w:szCs w:val="20"/>
    </w:rPr>
  </w:style>
  <w:style w:type="character" w:customStyle="1" w:styleId="CommentTextChar">
    <w:name w:val="Comment Text Char"/>
    <w:basedOn w:val="DefaultParagraphFont"/>
    <w:link w:val="CommentText"/>
    <w:uiPriority w:val="99"/>
    <w:semiHidden/>
    <w:rsid w:val="00394EAE"/>
    <w:rPr>
      <w:sz w:val="20"/>
      <w:szCs w:val="20"/>
    </w:rPr>
  </w:style>
  <w:style w:type="paragraph" w:styleId="CommentSubject">
    <w:name w:val="annotation subject"/>
    <w:basedOn w:val="CommentText"/>
    <w:next w:val="CommentText"/>
    <w:link w:val="CommentSubjectChar"/>
    <w:uiPriority w:val="99"/>
    <w:semiHidden/>
    <w:unhideWhenUsed/>
    <w:rsid w:val="00394EAE"/>
    <w:rPr>
      <w:b/>
      <w:bCs/>
    </w:rPr>
  </w:style>
  <w:style w:type="character" w:customStyle="1" w:styleId="CommentSubjectChar">
    <w:name w:val="Comment Subject Char"/>
    <w:basedOn w:val="CommentTextChar"/>
    <w:link w:val="CommentSubject"/>
    <w:uiPriority w:val="99"/>
    <w:semiHidden/>
    <w:rsid w:val="00394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F4D1-CDAA-4C2F-B9E4-2D394B13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Wilcox</dc:creator>
  <cp:keywords/>
  <dc:description/>
  <cp:lastModifiedBy>Robin Wilcox</cp:lastModifiedBy>
  <cp:revision>3</cp:revision>
  <cp:lastPrinted>2020-05-01T13:13:00Z</cp:lastPrinted>
  <dcterms:created xsi:type="dcterms:W3CDTF">2020-05-01T13:12:00Z</dcterms:created>
  <dcterms:modified xsi:type="dcterms:W3CDTF">2020-05-01T13:14:00Z</dcterms:modified>
</cp:coreProperties>
</file>